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8F" w:rsidRDefault="00DB326D" w:rsidP="00DB326D">
      <w:pPr>
        <w:ind w:firstLineChars="650" w:firstLine="2860"/>
        <w:rPr>
          <w:rFonts w:ascii="標楷體" w:eastAsia="標楷體" w:hAnsi="標楷體" w:hint="eastAsia"/>
          <w:sz w:val="44"/>
          <w:szCs w:val="44"/>
        </w:rPr>
      </w:pPr>
      <w:r w:rsidRPr="00DB326D">
        <w:rPr>
          <w:rFonts w:ascii="標楷體" w:eastAsia="標楷體" w:hAnsi="標楷體" w:hint="eastAsia"/>
          <w:sz w:val="44"/>
          <w:szCs w:val="44"/>
        </w:rPr>
        <w:t>第六週教材</w:t>
      </w:r>
    </w:p>
    <w:p w:rsidR="00DB326D" w:rsidRPr="00DB326D" w:rsidRDefault="00DB326D" w:rsidP="00DB326D">
      <w:pPr>
        <w:ind w:leftChars="800" w:left="2320" w:hangingChars="100" w:hanging="400"/>
        <w:rPr>
          <w:rFonts w:ascii="標楷體" w:eastAsia="標楷體" w:hAnsi="標楷體"/>
          <w:sz w:val="40"/>
          <w:szCs w:val="40"/>
        </w:rPr>
      </w:pPr>
      <w:r w:rsidRPr="00DB326D">
        <w:rPr>
          <w:rFonts w:ascii="標楷體" w:eastAsia="標楷體" w:hAnsi="標楷體" w:hint="eastAsia"/>
          <w:sz w:val="40"/>
          <w:szCs w:val="40"/>
        </w:rPr>
        <w:t>藥品</w:t>
      </w:r>
      <w:r w:rsidRPr="00DB326D">
        <w:rPr>
          <w:rFonts w:ascii="標楷體" w:eastAsia="標楷體" w:hAnsi="標楷體"/>
          <w:sz w:val="40"/>
          <w:szCs w:val="40"/>
        </w:rPr>
        <w:t>Off-label use</w:t>
      </w:r>
      <w:r w:rsidRPr="00DB326D">
        <w:rPr>
          <w:rFonts w:ascii="標楷體" w:eastAsia="標楷體" w:hAnsi="標楷體" w:hint="eastAsia"/>
          <w:sz w:val="40"/>
          <w:szCs w:val="40"/>
        </w:rPr>
        <w:t>之管制</w:t>
      </w:r>
      <w:r w:rsidRPr="00DB326D">
        <w:rPr>
          <w:rFonts w:ascii="標楷體" w:eastAsia="標楷體" w:hAnsi="標楷體"/>
          <w:sz w:val="40"/>
          <w:szCs w:val="40"/>
        </w:rPr>
        <w:t xml:space="preserve">                  </w:t>
      </w:r>
      <w:r w:rsidRPr="00DB326D">
        <w:rPr>
          <w:rFonts w:ascii="標楷體" w:eastAsia="標楷體" w:hAnsi="標楷體" w:hint="eastAsia"/>
          <w:sz w:val="40"/>
          <w:szCs w:val="40"/>
        </w:rPr>
        <w:t>─以美國與我國為例─</w:t>
      </w:r>
    </w:p>
    <w:p w:rsidR="00DB326D" w:rsidRPr="00134F11" w:rsidRDefault="00DB326D" w:rsidP="00DB326D">
      <w:pPr>
        <w:numPr>
          <w:ilvl w:val="0"/>
          <w:numId w:val="1"/>
        </w:numPr>
        <w:rPr>
          <w:sz w:val="32"/>
          <w:szCs w:val="32"/>
        </w:rPr>
      </w:pPr>
      <w:r w:rsidRPr="00134F11">
        <w:rPr>
          <w:rFonts w:hint="eastAsia"/>
          <w:sz w:val="32"/>
          <w:szCs w:val="32"/>
        </w:rPr>
        <w:t>案例與問題提出</w:t>
      </w:r>
    </w:p>
    <w:p w:rsidR="00DB326D" w:rsidRPr="00134F11" w:rsidRDefault="00DB326D" w:rsidP="00DB326D">
      <w:pPr>
        <w:numPr>
          <w:ilvl w:val="0"/>
          <w:numId w:val="45"/>
        </w:numPr>
        <w:rPr>
          <w:sz w:val="28"/>
          <w:szCs w:val="28"/>
        </w:rPr>
      </w:pPr>
      <w:r w:rsidRPr="00134F11">
        <w:rPr>
          <w:rFonts w:hint="eastAsia"/>
          <w:sz w:val="28"/>
          <w:szCs w:val="28"/>
        </w:rPr>
        <w:t>案例─臺灣臺北地方法院</w:t>
      </w:r>
      <w:r w:rsidRPr="00134F11">
        <w:rPr>
          <w:sz w:val="28"/>
          <w:szCs w:val="28"/>
        </w:rPr>
        <w:t>90</w:t>
      </w:r>
      <w:r w:rsidRPr="00134F11">
        <w:rPr>
          <w:rFonts w:hint="eastAsia"/>
          <w:sz w:val="28"/>
          <w:szCs w:val="28"/>
        </w:rPr>
        <w:t>年度訴字第</w:t>
      </w:r>
      <w:r w:rsidRPr="00134F11">
        <w:rPr>
          <w:sz w:val="28"/>
          <w:szCs w:val="28"/>
        </w:rPr>
        <w:t>3406</w:t>
      </w:r>
      <w:r w:rsidRPr="00134F11">
        <w:rPr>
          <w:rFonts w:hint="eastAsia"/>
          <w:sz w:val="28"/>
          <w:szCs w:val="28"/>
        </w:rPr>
        <w:t>號民事判決</w:t>
      </w:r>
    </w:p>
    <w:p w:rsidR="00DB326D" w:rsidRPr="002C0095" w:rsidRDefault="00DB326D" w:rsidP="00DB326D">
      <w:pPr>
        <w:ind w:left="480"/>
        <w:rPr>
          <w:rFonts w:ascii="新細明體"/>
        </w:rPr>
      </w:pPr>
      <w:r>
        <w:t xml:space="preserve">    </w:t>
      </w:r>
      <w:proofErr w:type="spellStart"/>
      <w:r>
        <w:t>Cytotec</w:t>
      </w:r>
      <w:proofErr w:type="spellEnd"/>
      <w:r w:rsidRPr="002C0095">
        <w:rPr>
          <w:rFonts w:ascii="新細明體" w:hAnsi="新細明體" w:hint="eastAsia"/>
        </w:rPr>
        <w:t>為衛生署核淮用於治療胃潰瘍之處方藥，原告甲之母親於</w:t>
      </w:r>
      <w:r w:rsidRPr="002C0095">
        <w:rPr>
          <w:rFonts w:ascii="新細明體" w:hAnsi="新細明體"/>
        </w:rPr>
        <w:t>88</w:t>
      </w:r>
      <w:r w:rsidRPr="002C0095">
        <w:rPr>
          <w:rFonts w:ascii="新細明體" w:hAnsi="新細明體" w:hint="eastAsia"/>
        </w:rPr>
        <w:t>年</w:t>
      </w:r>
    </w:p>
    <w:p w:rsidR="00DB326D" w:rsidRPr="002C0095"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Chars="250" w:hanging="600"/>
        <w:rPr>
          <w:rFonts w:ascii="新細明體" w:cs="細明體"/>
          <w:kern w:val="0"/>
        </w:rPr>
      </w:pPr>
      <w:r w:rsidRPr="002C0095">
        <w:rPr>
          <w:rFonts w:ascii="新細明體" w:hAnsi="新細明體"/>
        </w:rPr>
        <w:t xml:space="preserve">     7</w:t>
      </w:r>
      <w:r w:rsidRPr="002C0095">
        <w:rPr>
          <w:rFonts w:ascii="新細明體" w:hAnsi="新細明體" w:hint="eastAsia"/>
        </w:rPr>
        <w:t>月</w:t>
      </w:r>
      <w:r w:rsidRPr="002C0095">
        <w:rPr>
          <w:rFonts w:ascii="新細明體" w:hAnsi="新細明體"/>
        </w:rPr>
        <w:t>12</w:t>
      </w:r>
      <w:r w:rsidRPr="002C0095">
        <w:rPr>
          <w:rFonts w:ascii="新細明體" w:hAnsi="新細明體" w:hint="eastAsia"/>
        </w:rPr>
        <w:t>日前往被告乙醫院由丙醫師負責催生及接生，於生產過程中，丙醫師使用</w:t>
      </w:r>
      <w:proofErr w:type="spellStart"/>
      <w:r>
        <w:t>Cytotec</w:t>
      </w:r>
      <w:proofErr w:type="spellEnd"/>
      <w:r w:rsidRPr="002C0095">
        <w:rPr>
          <w:rFonts w:ascii="新細明體" w:hAnsi="新細明體" w:hint="eastAsia"/>
        </w:rPr>
        <w:t>作為催生引產，原告出生後</w:t>
      </w:r>
      <w:r w:rsidRPr="002C0095">
        <w:rPr>
          <w:rFonts w:ascii="新細明體" w:hAnsi="新細明體" w:cs="細明體" w:hint="eastAsia"/>
          <w:kern w:val="0"/>
        </w:rPr>
        <w:t>因窘迫窒息而腦性麻痺，原告主張被告丙醫師違反標示外使用之說明義務，乙醫院為丙醫師之僱用人分別依民法第</w:t>
      </w:r>
      <w:r w:rsidRPr="002C0095">
        <w:rPr>
          <w:rFonts w:ascii="新細明體" w:hAnsi="新細明體" w:cs="細明體"/>
          <w:kern w:val="0"/>
        </w:rPr>
        <w:t>184</w:t>
      </w:r>
      <w:r w:rsidRPr="002C0095">
        <w:rPr>
          <w:rFonts w:ascii="新細明體" w:hAnsi="新細明體" w:cs="細明體" w:hint="eastAsia"/>
          <w:kern w:val="0"/>
        </w:rPr>
        <w:t>條第一項及同法第</w:t>
      </w:r>
      <w:r w:rsidRPr="002C0095">
        <w:rPr>
          <w:rFonts w:ascii="新細明體" w:hAnsi="新細明體" w:cs="細明體"/>
          <w:kern w:val="0"/>
        </w:rPr>
        <w:t>188</w:t>
      </w:r>
      <w:r w:rsidRPr="002C0095">
        <w:rPr>
          <w:rFonts w:ascii="新細明體" w:hAnsi="新細明體" w:cs="細明體" w:hint="eastAsia"/>
          <w:kern w:val="0"/>
        </w:rPr>
        <w:t>條第一項請求損害賠償。法院以被告丙醫師違反說明義務及乙醫院依僱用人責任，而損害與違反義務之因果關係依民事訴訟法第</w:t>
      </w:r>
      <w:r w:rsidRPr="002C0095">
        <w:rPr>
          <w:rFonts w:ascii="新細明體" w:hAnsi="新細明體" w:cs="細明體"/>
          <w:kern w:val="0"/>
        </w:rPr>
        <w:t>277</w:t>
      </w:r>
      <w:r w:rsidRPr="002C0095">
        <w:rPr>
          <w:rFonts w:ascii="新細明體" w:hAnsi="新細明體" w:cs="細明體" w:hint="eastAsia"/>
          <w:kern w:val="0"/>
        </w:rPr>
        <w:t>條但書，由被告舉證排除義務違反與原告所損害無因果關係，而被告無法舉證，而認被告應賠償原告</w:t>
      </w:r>
      <w:r w:rsidRPr="002C0095">
        <w:rPr>
          <w:rFonts w:ascii="新細明體" w:hAnsi="新細明體" w:cs="細明體"/>
          <w:kern w:val="0"/>
        </w:rPr>
        <w:t>724</w:t>
      </w:r>
      <w:r w:rsidRPr="002C0095">
        <w:rPr>
          <w:rFonts w:ascii="新細明體" w:hAnsi="新細明體" w:cs="細明體" w:hint="eastAsia"/>
          <w:kern w:val="0"/>
        </w:rPr>
        <w:t>萬零</w:t>
      </w:r>
      <w:r w:rsidRPr="002C0095">
        <w:rPr>
          <w:rFonts w:ascii="新細明體" w:hAnsi="新細明體" w:cs="細明體"/>
          <w:kern w:val="0"/>
        </w:rPr>
        <w:t>666</w:t>
      </w:r>
      <w:r w:rsidRPr="002C0095">
        <w:rPr>
          <w:rFonts w:ascii="新細明體" w:hAnsi="新細明體" w:cs="細明體" w:hint="eastAsia"/>
          <w:kern w:val="0"/>
        </w:rPr>
        <w:t>元，原告一部請求</w:t>
      </w:r>
      <w:r w:rsidRPr="002C0095">
        <w:rPr>
          <w:rFonts w:ascii="新細明體" w:hAnsi="新細明體" w:cs="細明體"/>
          <w:kern w:val="0"/>
        </w:rPr>
        <w:t>500</w:t>
      </w:r>
      <w:r w:rsidRPr="002C0095">
        <w:rPr>
          <w:rFonts w:ascii="新細明體" w:hAnsi="新細明體" w:cs="細明體" w:hint="eastAsia"/>
          <w:kern w:val="0"/>
        </w:rPr>
        <w:t>萬元有理由，被告乙、丙應連帶賠償。</w:t>
      </w:r>
    </w:p>
    <w:p w:rsidR="00DB326D" w:rsidRPr="00134F11" w:rsidRDefault="00DB326D" w:rsidP="00DB326D">
      <w:pPr>
        <w:pStyle w:val="HTML"/>
        <w:ind w:leftChars="-333" w:left="1" w:hangingChars="250" w:hanging="800"/>
        <w:rPr>
          <w:sz w:val="28"/>
          <w:szCs w:val="28"/>
        </w:rPr>
      </w:pPr>
      <w:r w:rsidRPr="00134F11">
        <w:rPr>
          <w:sz w:val="32"/>
          <w:szCs w:val="32"/>
        </w:rPr>
        <w:t xml:space="preserve">   </w:t>
      </w:r>
      <w:r>
        <w:rPr>
          <w:rFonts w:hint="eastAsia"/>
          <w:sz w:val="32"/>
          <w:szCs w:val="32"/>
        </w:rPr>
        <w:t xml:space="preserve">  </w:t>
      </w:r>
      <w:r w:rsidRPr="00134F11">
        <w:rPr>
          <w:rFonts w:hint="eastAsia"/>
          <w:sz w:val="28"/>
          <w:szCs w:val="28"/>
        </w:rPr>
        <w:t>二、問題提出</w:t>
      </w:r>
    </w:p>
    <w:p w:rsidR="00DB326D" w:rsidRPr="002C0095"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5" w:left="180" w:hangingChars="250" w:hanging="600"/>
        <w:rPr>
          <w:rFonts w:ascii="新細明體"/>
        </w:rPr>
      </w:pPr>
      <w:r>
        <w:t xml:space="preserve">        </w:t>
      </w:r>
      <w:r w:rsidRPr="002C0095">
        <w:rPr>
          <w:rFonts w:ascii="新細明體" w:hAnsi="新細明體" w:hint="eastAsia"/>
        </w:rPr>
        <w:t>從上開案例得知我國法院實務或原告主張就</w:t>
      </w:r>
      <w:proofErr w:type="spellStart"/>
      <w:r w:rsidRPr="002C0095">
        <w:t>Off─LABEL</w:t>
      </w:r>
      <w:proofErr w:type="spellEnd"/>
      <w:r w:rsidRPr="002C0095">
        <w:t xml:space="preserve"> USE</w:t>
      </w:r>
      <w:r w:rsidRPr="002C0095">
        <w:rPr>
          <w:rFonts w:ascii="新細明體" w:hAnsi="新細明體" w:hint="eastAsia"/>
        </w:rPr>
        <w:t>之法律責任對象係以開立處方用藥之醫師為主，而選擇管制方式為以民事違反說明義務之侵權損害賠償為請求權基礎。然而，</w:t>
      </w:r>
      <w:r w:rsidRPr="002C0095">
        <w:t>OFF─LABEL USE</w:t>
      </w:r>
      <w:r w:rsidRPr="002C0095">
        <w:rPr>
          <w:rFonts w:ascii="新細明體" w:hAnsi="新細明體" w:hint="eastAsia"/>
        </w:rPr>
        <w:t>之使用是否屬於醫療實務常態而成為醫師醫療處置之裁量範圍，實有深入探究之必要。又藥物仍屬於商品之範疇，關於如何用藥或藥品之安全性、有效性，身為商品製造人之藥商，亦應知之甚詳，且醫師用藥之知識亦有部分依賴藥商於銷售或於仿單上標示而得知，故對於仿單外使用是否藥商亦應成為管制之對象，又應如何管制其行為，亦成為可思考之課題。此外，仿單外使用之用藥是否成為醫師應說明義務之內容？又其說明義務之基礎如何去架構，說明內容又為何？亦是由上開案例所引起之問題。本文將以</w:t>
      </w:r>
      <w:r w:rsidRPr="002C0095">
        <w:t>OFF─LABEL USE</w:t>
      </w:r>
      <w:r w:rsidRPr="002C0095">
        <w:rPr>
          <w:rFonts w:ascii="新細明體" w:hAnsi="新細明體" w:hint="eastAsia"/>
        </w:rPr>
        <w:t>在美國規範對象之選擇而課以不同之行為義務加以介紹，對應國內目前在規範相同醫療行為時不同作法，提出</w:t>
      </w:r>
      <w:r>
        <w:rPr>
          <w:rFonts w:ascii="新細明體" w:hAnsi="新細明體" w:hint="eastAsia"/>
        </w:rPr>
        <w:t>國內規範上之缺失</w:t>
      </w:r>
      <w:r w:rsidRPr="002C0095">
        <w:rPr>
          <w:rFonts w:ascii="新細明體" w:hAnsi="新細明體" w:hint="eastAsia"/>
        </w:rPr>
        <w:t>。</w:t>
      </w:r>
    </w:p>
    <w:p w:rsidR="00DB326D" w:rsidRPr="00A860C2"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 w:left="382" w:hangingChars="100" w:hanging="320"/>
        <w:rPr>
          <w:sz w:val="32"/>
          <w:szCs w:val="32"/>
        </w:rPr>
      </w:pPr>
      <w:r w:rsidRPr="00A860C2">
        <w:rPr>
          <w:rFonts w:hint="eastAsia"/>
          <w:sz w:val="32"/>
          <w:szCs w:val="32"/>
        </w:rPr>
        <w:t>貳、</w:t>
      </w:r>
      <w:r w:rsidRPr="002C0095">
        <w:rPr>
          <w:sz w:val="32"/>
          <w:szCs w:val="32"/>
        </w:rPr>
        <w:t>OFF─LABEL USE</w:t>
      </w:r>
      <w:r>
        <w:rPr>
          <w:rFonts w:hint="eastAsia"/>
          <w:sz w:val="32"/>
          <w:szCs w:val="32"/>
        </w:rPr>
        <w:t>之意義與醫療現況</w:t>
      </w:r>
    </w:p>
    <w:p w:rsidR="00DB326D" w:rsidRPr="00A354C4"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60" w:hangingChars="250" w:hanging="600"/>
        <w:rPr>
          <w:sz w:val="28"/>
          <w:szCs w:val="28"/>
        </w:rPr>
      </w:pPr>
      <w:r>
        <w:t xml:space="preserve"> </w:t>
      </w:r>
      <w:r>
        <w:rPr>
          <w:rFonts w:hint="eastAsia"/>
        </w:rPr>
        <w:t xml:space="preserve">  </w:t>
      </w:r>
      <w:r w:rsidRPr="00A354C4">
        <w:rPr>
          <w:rFonts w:hint="eastAsia"/>
          <w:sz w:val="28"/>
          <w:szCs w:val="28"/>
        </w:rPr>
        <w:t>一、</w:t>
      </w:r>
      <w:r w:rsidRPr="002C0095">
        <w:rPr>
          <w:sz w:val="28"/>
          <w:szCs w:val="28"/>
        </w:rPr>
        <w:t>OFF─LABEL USE</w:t>
      </w:r>
      <w:r>
        <w:rPr>
          <w:rFonts w:hint="eastAsia"/>
          <w:sz w:val="28"/>
          <w:szCs w:val="28"/>
        </w:rPr>
        <w:t>之意義</w:t>
      </w:r>
      <w:r w:rsidRPr="00A354C4">
        <w:rPr>
          <w:sz w:val="28"/>
          <w:szCs w:val="28"/>
        </w:rPr>
        <w:t xml:space="preserve"> </w:t>
      </w:r>
    </w:p>
    <w:p w:rsidR="00DB326D" w:rsidRDefault="00DB326D" w:rsidP="00DB326D">
      <w:pPr>
        <w:ind w:firstLineChars="200" w:firstLine="480"/>
      </w:pPr>
      <w:r>
        <w:rPr>
          <w:rFonts w:hint="eastAsia"/>
        </w:rPr>
        <w:t>所謂</w:t>
      </w:r>
      <w:r w:rsidRPr="002C0095">
        <w:t>Label</w:t>
      </w:r>
      <w:r>
        <w:rPr>
          <w:rFonts w:hint="eastAsia"/>
        </w:rPr>
        <w:t>是簡單的說就是一般商品使用說明書，有可能以商品外包裝或內</w:t>
      </w:r>
      <w:r>
        <w:rPr>
          <w:rFonts w:hint="eastAsia"/>
        </w:rPr>
        <w:lastRenderedPageBreak/>
        <w:t>含方式顯示，就法律的管制而言，除受商品標示法所規範外，通常伴隨一般商品之流通，而形成商品製造人就商品指示說明之一環，並無其他限制，而消費者亦通常依商品標籤指示而使用之，商品出售者對於該商品之使用，通常亦無要求具有相關專業知識，但在醫療行為中常見商品不外乎醫療器材及藥品，因醫療行為特性中之不確定性及危險性影響，醫療器材及藥品在流通進入醫療照護市場時，即受到嚴格限制。以藥品為例</w:t>
      </w:r>
      <w:r>
        <w:rPr>
          <w:rStyle w:val="ac"/>
        </w:rPr>
        <w:footnoteReference w:id="1"/>
      </w:r>
      <w:r>
        <w:rPr>
          <w:rFonts w:hint="eastAsia"/>
        </w:rPr>
        <w:t>，通常須經</w:t>
      </w:r>
      <w:r w:rsidRPr="002C0095">
        <w:rPr>
          <w:rFonts w:ascii="新細明體" w:hAnsi="新細明體" w:cs="標楷體" w:hint="eastAsia"/>
        </w:rPr>
        <w:t>臨床試驗前階段</w:t>
      </w:r>
      <w:r>
        <w:rPr>
          <w:rFonts w:ascii="新細明體" w:hAnsi="新細明體" w:cs="標楷體" w:hint="eastAsia"/>
        </w:rPr>
        <w:t>之</w:t>
      </w:r>
      <w:r>
        <w:rPr>
          <w:rFonts w:ascii="Arial" w:hAnsi="Arial" w:cs="Arial" w:hint="eastAsia"/>
          <w:color w:val="000000"/>
        </w:rPr>
        <w:t>新化學物質的篩選、動物藥理、毒性</w:t>
      </w:r>
      <w:r>
        <w:rPr>
          <w:rFonts w:hint="eastAsia"/>
        </w:rPr>
        <w:t>實驗，接著向主管機關提出新藥研究申請書</w:t>
      </w:r>
      <w:r w:rsidRPr="00B838E6">
        <w:rPr>
          <w:rFonts w:ascii="新細明體" w:hAnsi="新細明體" w:cs="標楷體" w:hint="eastAsia"/>
        </w:rPr>
        <w:t>（</w:t>
      </w:r>
      <w:r w:rsidRPr="00B838E6">
        <w:t>Investigational New Drug Application</w:t>
      </w:r>
      <w:r w:rsidRPr="00B838E6">
        <w:rPr>
          <w:rFonts w:ascii="新細明體" w:hAnsi="新細明體" w:cs="標楷體" w:hint="eastAsia"/>
        </w:rPr>
        <w:t>，</w:t>
      </w:r>
      <w:r w:rsidRPr="00B838E6">
        <w:t>INDA</w:t>
      </w:r>
      <w:r w:rsidRPr="00B838E6">
        <w:rPr>
          <w:rFonts w:ascii="新細明體" w:hAnsi="新細明體" w:cs="標楷體" w:hint="eastAsia"/>
        </w:rPr>
        <w:t>）</w:t>
      </w:r>
      <w:r>
        <w:rPr>
          <w:rFonts w:ascii="新細明體" w:hAnsi="新細明體" w:cs="標楷體" w:hint="eastAsia"/>
        </w:rPr>
        <w:t>，</w:t>
      </w:r>
      <w:r w:rsidRPr="00391B56">
        <w:rPr>
          <w:rFonts w:hAnsi="標楷體" w:cs="標楷體" w:hint="eastAsia"/>
        </w:rPr>
        <w:t>要提交關於藥品詳細資訊，包括藥理學摘要與在動物的毒性</w:t>
      </w:r>
      <w:r>
        <w:rPr>
          <w:rFonts w:hAnsi="標楷體" w:cs="標楷體" w:hint="eastAsia"/>
        </w:rPr>
        <w:t>試驗結果、</w:t>
      </w:r>
      <w:r w:rsidRPr="00391B56">
        <w:rPr>
          <w:rFonts w:hAnsi="標楷體" w:cs="標楷體" w:hint="eastAsia"/>
        </w:rPr>
        <w:t>任何先前人體經驗、參與者風險與副作用、臨床試驗詳細計劃</w:t>
      </w:r>
      <w:r>
        <w:rPr>
          <w:rFonts w:hAnsi="標楷體" w:cs="標楷體" w:hint="eastAsia"/>
        </w:rPr>
        <w:t>，在取得主管機關及所在地的人體試驗委員會</w:t>
      </w:r>
      <w:r w:rsidRPr="00000BDA">
        <w:rPr>
          <w:rFonts w:hint="eastAsia"/>
        </w:rPr>
        <w:t>（</w:t>
      </w:r>
      <w:r w:rsidRPr="00000BDA">
        <w:rPr>
          <w:rFonts w:eastAsia="標楷體"/>
        </w:rPr>
        <w:t>Institutional Review Board</w:t>
      </w:r>
      <w:r w:rsidRPr="00000BDA">
        <w:rPr>
          <w:rFonts w:ascii="新細明體" w:hAnsi="新細明體" w:hint="eastAsia"/>
        </w:rPr>
        <w:t>，</w:t>
      </w:r>
      <w:r w:rsidRPr="00000BDA">
        <w:rPr>
          <w:rFonts w:eastAsia="標楷體"/>
        </w:rPr>
        <w:t>IRB</w:t>
      </w:r>
      <w:r w:rsidRPr="00000BDA">
        <w:rPr>
          <w:rFonts w:ascii="新細明體" w:hAnsi="新細明體" w:hint="eastAsia"/>
        </w:rPr>
        <w:t>）</w:t>
      </w:r>
      <w:r>
        <w:rPr>
          <w:rFonts w:ascii="新細明體" w:hAnsi="新細明體" w:hint="eastAsia"/>
        </w:rPr>
        <w:t>同意後開始進行人體試驗，</w:t>
      </w:r>
      <w:r w:rsidRPr="00000BDA">
        <w:rPr>
          <w:rFonts w:hAnsi="標楷體" w:cs="標楷體" w:hint="eastAsia"/>
        </w:rPr>
        <w:t>一般要求臨床試驗要三階段</w:t>
      </w:r>
      <w:r>
        <w:rPr>
          <w:rStyle w:val="ac"/>
          <w:rFonts w:hAnsi="標楷體" w:cs="標楷體"/>
        </w:rPr>
        <w:footnoteReference w:id="2"/>
      </w:r>
      <w:r>
        <w:rPr>
          <w:rFonts w:hAnsi="標楷體" w:cs="標楷體" w:hint="eastAsia"/>
        </w:rPr>
        <w:t>，</w:t>
      </w:r>
      <w:r w:rsidRPr="00000BDA">
        <w:rPr>
          <w:rFonts w:hAnsi="標楷體" w:cs="標楷體" w:hint="eastAsia"/>
        </w:rPr>
        <w:t>第一階段研發新藥運用在</w:t>
      </w:r>
      <w:r>
        <w:rPr>
          <w:rFonts w:hAnsi="標楷體" w:cs="標楷體" w:hint="eastAsia"/>
        </w:rPr>
        <w:t>人數</w:t>
      </w:r>
      <w:r w:rsidRPr="00000BDA">
        <w:rPr>
          <w:rFonts w:cs="標楷體"/>
        </w:rPr>
        <w:t>20</w:t>
      </w:r>
      <w:r>
        <w:rPr>
          <w:rFonts w:cs="標楷體" w:hint="eastAsia"/>
        </w:rPr>
        <w:t>至</w:t>
      </w:r>
      <w:r w:rsidRPr="00000BDA">
        <w:rPr>
          <w:rFonts w:cs="標楷體"/>
        </w:rPr>
        <w:t>80</w:t>
      </w:r>
      <w:r>
        <w:rPr>
          <w:rFonts w:cs="標楷體" w:hint="eastAsia"/>
        </w:rPr>
        <w:t>位</w:t>
      </w:r>
      <w:r w:rsidRPr="00000BDA">
        <w:rPr>
          <w:rFonts w:hAnsi="標楷體" w:cs="標楷體" w:hint="eastAsia"/>
        </w:rPr>
        <w:t>健康的人身上，去研究增加劑量與副作用相關性，如果可能的話，得到效果的早期證據。第二階段實施在罹患</w:t>
      </w:r>
      <w:r>
        <w:rPr>
          <w:rFonts w:hAnsi="標楷體" w:cs="標楷體" w:hint="eastAsia"/>
        </w:rPr>
        <w:t>疾病的</w:t>
      </w:r>
      <w:r w:rsidRPr="00000BDA">
        <w:rPr>
          <w:rFonts w:hAnsi="標楷體" w:cs="標楷體" w:hint="eastAsia"/>
        </w:rPr>
        <w:t>數百人身上，為了研究該藥對於該疾病的有效性，並且決定與該藥相關之一般短期副作用與風險</w:t>
      </w:r>
      <w:r>
        <w:rPr>
          <w:rFonts w:hAnsi="標楷體" w:cs="標楷體" w:hint="eastAsia"/>
        </w:rPr>
        <w:t>；</w:t>
      </w:r>
      <w:r w:rsidRPr="00000BDA">
        <w:rPr>
          <w:rFonts w:hAnsi="標楷體" w:cs="標楷體" w:hint="eastAsia"/>
        </w:rPr>
        <w:t>第三階段通常包括數百到數千</w:t>
      </w:r>
      <w:r>
        <w:rPr>
          <w:rFonts w:hAnsi="標楷體" w:cs="標楷體" w:hint="eastAsia"/>
        </w:rPr>
        <w:t>位</w:t>
      </w:r>
      <w:r w:rsidRPr="00000BDA">
        <w:rPr>
          <w:rFonts w:hAnsi="標楷體" w:cs="標楷體" w:hint="eastAsia"/>
        </w:rPr>
        <w:t>人體試驗受試者，通常從早期試驗可得到該藥有效性的早期證據，目標是得到關於安全性</w:t>
      </w:r>
      <w:r>
        <w:rPr>
          <w:rFonts w:hAnsi="標楷體" w:cs="標楷體" w:hint="eastAsia"/>
        </w:rPr>
        <w:t>、</w:t>
      </w:r>
      <w:r w:rsidRPr="00000BDA">
        <w:rPr>
          <w:rFonts w:hAnsi="標楷體" w:cs="標楷體" w:hint="eastAsia"/>
        </w:rPr>
        <w:t>有效性的資訊</w:t>
      </w:r>
      <w:r>
        <w:rPr>
          <w:rFonts w:hAnsi="標楷體" w:cs="標楷體" w:hint="eastAsia"/>
        </w:rPr>
        <w:t>，藉以</w:t>
      </w:r>
      <w:r w:rsidRPr="00000BDA">
        <w:rPr>
          <w:rFonts w:hAnsi="標楷體" w:cs="標楷體" w:hint="eastAsia"/>
        </w:rPr>
        <w:t>評估全面性的該藥物</w:t>
      </w:r>
      <w:r w:rsidRPr="007A3E0A">
        <w:rPr>
          <w:rFonts w:ascii="新細明體" w:hAnsi="新細明體" w:cs="標楷體" w:hint="eastAsia"/>
        </w:rPr>
        <w:t>效益</w:t>
      </w:r>
      <w:r>
        <w:rPr>
          <w:rFonts w:ascii="新細明體" w:hAnsi="新細明體" w:cs="標楷體" w:hint="eastAsia"/>
        </w:rPr>
        <w:t>與</w:t>
      </w:r>
      <w:r w:rsidRPr="007A3E0A">
        <w:rPr>
          <w:rFonts w:ascii="新細明體" w:hAnsi="新細明體" w:cs="標楷體" w:hint="eastAsia"/>
        </w:rPr>
        <w:t>危險比率，並且為</w:t>
      </w:r>
      <w:r>
        <w:rPr>
          <w:rFonts w:ascii="新細明體" w:hAnsi="新細明體" w:cs="標楷體" w:hint="eastAsia"/>
        </w:rPr>
        <w:t>藥品</w:t>
      </w:r>
      <w:r w:rsidRPr="007A3E0A">
        <w:rPr>
          <w:rFonts w:ascii="新細明體" w:hAnsi="新細明體" w:cs="標楷體" w:hint="eastAsia"/>
        </w:rPr>
        <w:t>標示提供的基本</w:t>
      </w:r>
      <w:r>
        <w:rPr>
          <w:rFonts w:ascii="新細明體" w:hAnsi="新細明體" w:cs="標楷體" w:hint="eastAsia"/>
        </w:rPr>
        <w:t>內容</w:t>
      </w:r>
      <w:r w:rsidRPr="00000BDA">
        <w:rPr>
          <w:rStyle w:val="ac"/>
        </w:rPr>
        <w:footnoteReference w:id="3"/>
      </w:r>
      <w:r>
        <w:rPr>
          <w:rFonts w:ascii="新細明體" w:hAnsi="新細明體" w:cs="標楷體" w:hint="eastAsia"/>
        </w:rPr>
        <w:t>。之後</w:t>
      </w:r>
      <w:r>
        <w:rPr>
          <w:rFonts w:hint="eastAsia"/>
        </w:rPr>
        <w:t>再將人體試驗資料送請主管機關為</w:t>
      </w:r>
      <w:r w:rsidRPr="00D20E05">
        <w:rPr>
          <w:rFonts w:hAnsi="標楷體" w:cs="標楷體" w:hint="eastAsia"/>
        </w:rPr>
        <w:t>新藥上市申請（</w:t>
      </w:r>
      <w:r w:rsidRPr="00D20E05">
        <w:rPr>
          <w:rFonts w:cs="標楷體"/>
        </w:rPr>
        <w:t>New Drug Application</w:t>
      </w:r>
      <w:r w:rsidRPr="00D20E05">
        <w:rPr>
          <w:rFonts w:hAnsi="標楷體" w:cs="標楷體" w:hint="eastAsia"/>
        </w:rPr>
        <w:t>，</w:t>
      </w:r>
      <w:r w:rsidRPr="00D20E05">
        <w:rPr>
          <w:rFonts w:cs="標楷體"/>
        </w:rPr>
        <w:t>NDA</w:t>
      </w:r>
      <w:r w:rsidRPr="00D20E05">
        <w:rPr>
          <w:rFonts w:hAnsi="標楷體" w:cs="標楷體" w:hint="eastAsia"/>
        </w:rPr>
        <w:t>）</w:t>
      </w:r>
      <w:r>
        <w:rPr>
          <w:rFonts w:hAnsi="標楷體" w:cs="標楷體" w:hint="eastAsia"/>
        </w:rPr>
        <w:t>，</w:t>
      </w:r>
      <w:r>
        <w:rPr>
          <w:rFonts w:hint="eastAsia"/>
        </w:rPr>
        <w:t>再取得上市核准，發給藥品許可證，直至上市後尚有藥物上市後監測的制度</w:t>
      </w:r>
      <w:r w:rsidRPr="00CD1362">
        <w:rPr>
          <w:rFonts w:hint="eastAsia"/>
        </w:rPr>
        <w:t>（</w:t>
      </w:r>
      <w:r w:rsidRPr="00CD1362">
        <w:rPr>
          <w:color w:val="000000"/>
        </w:rPr>
        <w:t>Post-Marketing Surveillance</w:t>
      </w:r>
      <w:r w:rsidRPr="00CD1362">
        <w:rPr>
          <w:rFonts w:hAnsi="Arial" w:hint="eastAsia"/>
          <w:color w:val="000000"/>
        </w:rPr>
        <w:t>，</w:t>
      </w:r>
      <w:r w:rsidRPr="00CD1362">
        <w:rPr>
          <w:color w:val="000000"/>
        </w:rPr>
        <w:t>PMS</w:t>
      </w:r>
      <w:r w:rsidRPr="00CD1362">
        <w:rPr>
          <w:rFonts w:hAnsi="Arial" w:hint="eastAsia"/>
          <w:color w:val="000000"/>
        </w:rPr>
        <w:t>）</w:t>
      </w:r>
      <w:r>
        <w:rPr>
          <w:rFonts w:hint="eastAsia"/>
        </w:rPr>
        <w:t>。再者就提供此等商品之人，亦有加以專業資格上之限制，以藥品為例，分為處方藥、指示藥及成藥，能提供者從限醫師資格、須藥師資格到完全不設限而有所不同。因此，藥品此等商品在上市前、上市後流通及銷售過程中實有異於其他商品性質。</w:t>
      </w:r>
    </w:p>
    <w:p w:rsidR="00DB326D" w:rsidRPr="00C74C32" w:rsidRDefault="00DB326D" w:rsidP="00DB326D">
      <w:pPr>
        <w:pStyle w:val="HTML"/>
      </w:pPr>
      <w:r>
        <w:t xml:space="preserve">    </w:t>
      </w:r>
      <w:r>
        <w:rPr>
          <w:rFonts w:hint="eastAsia"/>
        </w:rPr>
        <w:t>我國藥事法第</w:t>
      </w:r>
      <w:r>
        <w:t>25</w:t>
      </w:r>
      <w:r>
        <w:rPr>
          <w:rFonts w:hint="eastAsia"/>
        </w:rPr>
        <w:t>條規定「</w:t>
      </w:r>
      <w:r w:rsidRPr="007A52B4">
        <w:rPr>
          <w:rFonts w:hint="eastAsia"/>
        </w:rPr>
        <w:t>本法所稱標籤，係指藥品或醫療器材之容器上或包裝上，用以記載文字、圖畫或記號之標示物</w:t>
      </w:r>
      <w:r>
        <w:rPr>
          <w:rFonts w:hint="eastAsia"/>
          <w:sz w:val="20"/>
          <w:szCs w:val="20"/>
        </w:rPr>
        <w:t>。」、</w:t>
      </w:r>
      <w:r w:rsidRPr="007A52B4">
        <w:rPr>
          <w:rFonts w:hint="eastAsia"/>
        </w:rPr>
        <w:t>同法第</w:t>
      </w:r>
      <w:r w:rsidRPr="007A52B4">
        <w:t>26</w:t>
      </w:r>
      <w:r w:rsidRPr="007A52B4">
        <w:rPr>
          <w:rFonts w:hint="eastAsia"/>
        </w:rPr>
        <w:t>條</w:t>
      </w:r>
      <w:r>
        <w:rPr>
          <w:rFonts w:hint="eastAsia"/>
        </w:rPr>
        <w:t>規定「</w:t>
      </w:r>
      <w:r w:rsidRPr="007A52B4">
        <w:rPr>
          <w:rFonts w:hint="eastAsia"/>
        </w:rPr>
        <w:t>本法所稱仿單，係指藥品或醫療器材附加之說明書。</w:t>
      </w:r>
      <w:r>
        <w:rPr>
          <w:rFonts w:hint="eastAsia"/>
        </w:rPr>
        <w:t>」，優良藥品製造標準第</w:t>
      </w:r>
      <w:r>
        <w:t>3</w:t>
      </w:r>
      <w:r>
        <w:rPr>
          <w:rFonts w:hint="eastAsia"/>
        </w:rPr>
        <w:t>條第一項第五款規定「標示</w:t>
      </w:r>
      <w:r w:rsidRPr="001069B3">
        <w:rPr>
          <w:rFonts w:hint="eastAsia"/>
        </w:rPr>
        <w:t>指所有標籤、仿單及附隨物品刊載之文字或圖形</w:t>
      </w:r>
      <w:r>
        <w:rPr>
          <w:rFonts w:hint="eastAsia"/>
        </w:rPr>
        <w:t>」，從法條釋義上而言</w:t>
      </w:r>
      <w:r>
        <w:rPr>
          <w:rStyle w:val="ac"/>
          <w:rFonts w:cs="細明體"/>
        </w:rPr>
        <w:footnoteReference w:id="4"/>
      </w:r>
      <w:r>
        <w:rPr>
          <w:rFonts w:hint="eastAsia"/>
        </w:rPr>
        <w:t>，標籤與仿單是不同，而標示是最廣泛的定義，但就標籤與仿單實際記載事項實無差別，關於記載內容，通常亦係此等商品上市前所累積人體試驗所得之科學資料，針對特定疾病之安全性及有效性相關資訊，均應經過主管機關核准後始得記載，並且就標籤及仿單應記載事項均為法律規定，例如：</w:t>
      </w:r>
      <w:r w:rsidRPr="00C74C32">
        <w:rPr>
          <w:rFonts w:hint="eastAsia"/>
        </w:rPr>
        <w:t>品名及許可</w:t>
      </w:r>
      <w:r w:rsidRPr="00C74C32">
        <w:rPr>
          <w:rFonts w:hint="eastAsia"/>
        </w:rPr>
        <w:lastRenderedPageBreak/>
        <w:t>證字號</w:t>
      </w:r>
      <w:r>
        <w:rPr>
          <w:rFonts w:hint="eastAsia"/>
        </w:rPr>
        <w:t>、</w:t>
      </w:r>
      <w:r w:rsidRPr="00C74C32">
        <w:rPr>
          <w:rFonts w:hint="eastAsia"/>
        </w:rPr>
        <w:t>主要成分含量、用量及用法</w:t>
      </w:r>
      <w:r>
        <w:rPr>
          <w:rFonts w:hint="eastAsia"/>
        </w:rPr>
        <w:t>、</w:t>
      </w:r>
      <w:r w:rsidRPr="00C74C32">
        <w:rPr>
          <w:rFonts w:hint="eastAsia"/>
        </w:rPr>
        <w:t>主治效能、性能或適應症、副作用、禁忌及廠商名稱及地址製造日期</w:t>
      </w:r>
      <w:r>
        <w:rPr>
          <w:rFonts w:hint="eastAsia"/>
        </w:rPr>
        <w:t>、</w:t>
      </w:r>
      <w:r w:rsidRPr="00C74C32">
        <w:rPr>
          <w:rFonts w:hint="eastAsia"/>
        </w:rPr>
        <w:t>有效期間或保存期限</w:t>
      </w:r>
      <w:r>
        <w:rPr>
          <w:rFonts w:hint="eastAsia"/>
        </w:rPr>
        <w:t>、</w:t>
      </w:r>
      <w:r w:rsidRPr="00C74C32">
        <w:rPr>
          <w:rFonts w:hint="eastAsia"/>
        </w:rPr>
        <w:t>批號</w:t>
      </w:r>
      <w:r>
        <w:rPr>
          <w:rFonts w:hint="eastAsia"/>
        </w:rPr>
        <w:t>、</w:t>
      </w:r>
      <w:r w:rsidRPr="00C74C32">
        <w:rPr>
          <w:rFonts w:hint="eastAsia"/>
        </w:rPr>
        <w:t>其他注意事項、其他依規定應刊載事項</w:t>
      </w:r>
      <w:r>
        <w:rPr>
          <w:rStyle w:val="ac"/>
          <w:rFonts w:cs="細明體"/>
        </w:rPr>
        <w:footnoteReference w:id="5"/>
      </w:r>
      <w:r>
        <w:rPr>
          <w:rFonts w:hint="eastAsia"/>
        </w:rPr>
        <w:t>；另就其記載內容亦不得事後任意加以變更或冒用</w:t>
      </w:r>
      <w:r>
        <w:rPr>
          <w:rStyle w:val="ac"/>
          <w:rFonts w:cs="細明體"/>
        </w:rPr>
        <w:footnoteReference w:id="6"/>
      </w:r>
    </w:p>
    <w:p w:rsidR="00DB326D" w:rsidRPr="00A2000B" w:rsidRDefault="00DB326D" w:rsidP="00DB326D">
      <w:pPr>
        <w:pStyle w:val="HTML"/>
        <w:rPr>
          <w:rFonts w:ascii="Times New Roman" w:eastAsia="新細明體" w:hAnsi="Times New Roman"/>
        </w:rPr>
      </w:pPr>
      <w:r>
        <w:t xml:space="preserve">    </w:t>
      </w:r>
      <w:r w:rsidRPr="00AE27BB">
        <w:rPr>
          <w:rFonts w:ascii="新細明體" w:eastAsia="新細明體" w:hAnsi="新細明體" w:hint="eastAsia"/>
        </w:rPr>
        <w:t>美國在</w:t>
      </w:r>
      <w:r w:rsidRPr="00AE27BB">
        <w:rPr>
          <w:rFonts w:ascii="新細明體" w:eastAsia="新細明體" w:hAnsi="新細明體"/>
        </w:rPr>
        <w:t>1962</w:t>
      </w:r>
      <w:r w:rsidRPr="00AE27BB">
        <w:rPr>
          <w:rFonts w:ascii="新細明體" w:eastAsia="新細明體" w:hAnsi="新細明體" w:hint="eastAsia"/>
        </w:rPr>
        <w:t>年沙利竇邁</w:t>
      </w:r>
      <w:r>
        <w:rPr>
          <w:rFonts w:hint="eastAsia"/>
        </w:rPr>
        <w:t>（</w:t>
      </w:r>
      <w:r w:rsidRPr="00ED50EA">
        <w:rPr>
          <w:rFonts w:ascii="Times New Roman" w:hAnsi="Times New Roman" w:cs="Times New Roman"/>
        </w:rPr>
        <w:t>thalidomide</w:t>
      </w:r>
      <w:r w:rsidRPr="00ED50EA">
        <w:rPr>
          <w:rFonts w:ascii="Times New Roman" w:cs="Times New Roman" w:hint="eastAsia"/>
        </w:rPr>
        <w:t>）</w:t>
      </w:r>
      <w:r w:rsidRPr="00AE27BB">
        <w:rPr>
          <w:rFonts w:ascii="新細明體" w:eastAsia="新細明體" w:hAnsi="新細明體" w:hint="eastAsia"/>
        </w:rPr>
        <w:t>事件後，通過修正藥物食品化妝品法</w:t>
      </w:r>
      <w:r>
        <w:rPr>
          <w:rFonts w:hint="eastAsia"/>
        </w:rPr>
        <w:t>（</w:t>
      </w:r>
      <w:r w:rsidRPr="00AE27BB">
        <w:rPr>
          <w:rFonts w:ascii="Times New Roman" w:eastAsia="新細明體" w:hAnsi="新細明體" w:hint="eastAsia"/>
        </w:rPr>
        <w:t>簡稱</w:t>
      </w:r>
      <w:r w:rsidRPr="00AE27BB">
        <w:rPr>
          <w:rFonts w:ascii="Times New Roman" w:eastAsia="新細明體" w:hAnsi="Times New Roman"/>
        </w:rPr>
        <w:t>FDCA</w:t>
      </w:r>
      <w:r>
        <w:rPr>
          <w:rFonts w:hint="eastAsia"/>
        </w:rPr>
        <w:t>）</w:t>
      </w:r>
      <w:r w:rsidRPr="00F373C5">
        <w:rPr>
          <w:rFonts w:ascii="Times New Roman" w:eastAsia="新細明體" w:hAnsi="Times New Roman" w:cs="Arial"/>
        </w:rPr>
        <w:t>Kefauver - Harris</w:t>
      </w:r>
      <w:r w:rsidRPr="00AE27BB">
        <w:rPr>
          <w:rFonts w:ascii="新細明體" w:eastAsia="新細明體" w:hAnsi="新細明體" w:cs="Arial" w:hint="eastAsia"/>
          <w:color w:val="000000"/>
        </w:rPr>
        <w:t>修正法案，要求藥商必須</w:t>
      </w:r>
      <w:r>
        <w:rPr>
          <w:rFonts w:ascii="新細明體" w:eastAsia="新細明體" w:hAnsi="新細明體" w:cs="Arial" w:hint="eastAsia"/>
          <w:color w:val="000000"/>
        </w:rPr>
        <w:t>向</w:t>
      </w:r>
      <w:r w:rsidRPr="00AE27BB">
        <w:rPr>
          <w:rFonts w:ascii="新細明體" w:eastAsia="新細明體" w:hAnsi="新細明體" w:hint="eastAsia"/>
        </w:rPr>
        <w:t>美國</w:t>
      </w:r>
      <w:r w:rsidRPr="00AE27BB">
        <w:rPr>
          <w:rFonts w:ascii="新細明體" w:eastAsia="新細明體" w:hAnsi="新細明體" w:cs="Arial" w:hint="eastAsia"/>
          <w:color w:val="000000"/>
        </w:rPr>
        <w:t>食品藥物管理局</w:t>
      </w:r>
      <w:r>
        <w:rPr>
          <w:rFonts w:ascii="新細明體" w:eastAsia="新細明體" w:hAnsi="新細明體" w:cs="Arial" w:hint="eastAsia"/>
          <w:color w:val="000000"/>
        </w:rPr>
        <w:t>（</w:t>
      </w:r>
      <w:r>
        <w:rPr>
          <w:rFonts w:ascii="新細明體" w:eastAsia="新細明體" w:hAnsi="新細明體" w:cs="Arial"/>
          <w:color w:val="000000"/>
        </w:rPr>
        <w:t xml:space="preserve">Food and Drug </w:t>
      </w:r>
      <w:proofErr w:type="spellStart"/>
      <w:r>
        <w:rPr>
          <w:rFonts w:ascii="新細明體" w:eastAsia="新細明體" w:hAnsi="新細明體" w:cs="Arial"/>
          <w:color w:val="000000"/>
        </w:rPr>
        <w:t>Administrationd</w:t>
      </w:r>
      <w:proofErr w:type="spellEnd"/>
      <w:r>
        <w:rPr>
          <w:rFonts w:ascii="新細明體" w:eastAsia="新細明體" w:hAnsi="新細明體" w:cs="Arial" w:hint="eastAsia"/>
          <w:color w:val="000000"/>
        </w:rPr>
        <w:t>，</w:t>
      </w:r>
      <w:r w:rsidRPr="00AE27BB">
        <w:rPr>
          <w:rFonts w:ascii="新細明體" w:eastAsia="新細明體" w:hAnsi="新細明體" w:cs="Arial"/>
          <w:color w:val="000000"/>
        </w:rPr>
        <w:t>FDA</w:t>
      </w:r>
      <w:r>
        <w:rPr>
          <w:rFonts w:ascii="新細明體" w:eastAsia="新細明體" w:hAnsi="新細明體" w:cs="Arial" w:hint="eastAsia"/>
          <w:color w:val="000000"/>
        </w:rPr>
        <w:t>）</w:t>
      </w:r>
      <w:r w:rsidRPr="00AE27BB">
        <w:rPr>
          <w:rFonts w:ascii="新細明體" w:eastAsia="新細明體" w:hAnsi="新細明體" w:cs="Arial" w:hint="eastAsia"/>
          <w:color w:val="000000"/>
        </w:rPr>
        <w:t>提出藥品有效性與安全性之證明，</w:t>
      </w:r>
      <w:r w:rsidRPr="00AE27BB">
        <w:rPr>
          <w:rFonts w:ascii="Times New Roman" w:hAnsi="Times New Roman" w:cs="Times New Roman"/>
        </w:rPr>
        <w:t>FDA</w:t>
      </w:r>
      <w:r w:rsidRPr="00AE27BB">
        <w:rPr>
          <w:rFonts w:ascii="新細明體" w:eastAsia="新細明體" w:hAnsi="新細明體" w:hint="eastAsia"/>
        </w:rPr>
        <w:t>有權力去評估所有藥物在美國銷售前之安全性與有效性，在此修正法律之下，除非藥品能被證明具有安全性及有效性，否則</w:t>
      </w:r>
      <w:r w:rsidRPr="00AE27BB">
        <w:rPr>
          <w:rFonts w:ascii="新細明體" w:eastAsia="新細明體" w:hAnsi="新細明體"/>
        </w:rPr>
        <w:t>FDA</w:t>
      </w:r>
      <w:r w:rsidRPr="00AE27BB">
        <w:rPr>
          <w:rFonts w:ascii="新細明體" w:eastAsia="新細明體" w:hAnsi="新細明體" w:hint="eastAsia"/>
        </w:rPr>
        <w:t>不會給予核准上市，而藥商提供支持其藥物安全無虞且具有療效的科學文獻、仿單</w:t>
      </w:r>
      <w:r w:rsidRPr="00AE27BB">
        <w:rPr>
          <w:rFonts w:ascii="Times New Roman" w:cs="Times New Roman" w:hint="eastAsia"/>
        </w:rPr>
        <w:t>（</w:t>
      </w:r>
      <w:r w:rsidRPr="00AE27BB">
        <w:rPr>
          <w:rFonts w:ascii="Times New Roman" w:hAnsi="Times New Roman" w:cs="Times New Roman"/>
        </w:rPr>
        <w:t>package insert</w:t>
      </w:r>
      <w:r w:rsidRPr="00AE27BB">
        <w:rPr>
          <w:rFonts w:ascii="Times New Roman" w:cs="Times New Roman" w:hint="eastAsia"/>
        </w:rPr>
        <w:t>）</w:t>
      </w:r>
      <w:r>
        <w:rPr>
          <w:rFonts w:hint="eastAsia"/>
        </w:rPr>
        <w:t>，</w:t>
      </w:r>
      <w:r w:rsidRPr="00AE27BB">
        <w:rPr>
          <w:rFonts w:ascii="Times New Roman" w:eastAsia="新細明體" w:hAnsi="新細明體" w:hint="eastAsia"/>
        </w:rPr>
        <w:t>供</w:t>
      </w:r>
      <w:r w:rsidRPr="00AE27BB">
        <w:rPr>
          <w:rFonts w:ascii="Times New Roman" w:eastAsia="新細明體" w:hAnsi="Times New Roman"/>
        </w:rPr>
        <w:t>FDA</w:t>
      </w:r>
      <w:r w:rsidRPr="00AE27BB">
        <w:rPr>
          <w:rFonts w:ascii="Times New Roman" w:eastAsia="新細明體" w:hAnsi="新細明體" w:hint="eastAsia"/>
        </w:rPr>
        <w:t>審查，而授予上市許可，並於藥品之標籤（</w:t>
      </w:r>
      <w:r w:rsidRPr="00AE27BB">
        <w:rPr>
          <w:rFonts w:ascii="Times New Roman" w:eastAsia="新細明體" w:hAnsi="Times New Roman"/>
        </w:rPr>
        <w:t>LABEL</w:t>
      </w:r>
      <w:r w:rsidRPr="00AE27BB">
        <w:rPr>
          <w:rFonts w:ascii="Times New Roman" w:eastAsia="新細明體" w:hAnsi="新細明體" w:hint="eastAsia"/>
        </w:rPr>
        <w:t>）及標示（</w:t>
      </w:r>
      <w:r w:rsidRPr="00AE27BB">
        <w:rPr>
          <w:rFonts w:ascii="Times New Roman" w:eastAsia="新細明體" w:hAnsi="Times New Roman"/>
        </w:rPr>
        <w:t>LABELING</w:t>
      </w:r>
      <w:r w:rsidRPr="00AE27BB">
        <w:rPr>
          <w:rFonts w:ascii="Times New Roman" w:eastAsia="新細明體" w:hAnsi="新細明體" w:hint="eastAsia"/>
        </w:rPr>
        <w:t>），亦如同我國之法律規定</w:t>
      </w:r>
      <w:r w:rsidRPr="00AE27BB">
        <w:rPr>
          <w:rStyle w:val="ac"/>
          <w:rFonts w:ascii="Times New Roman" w:eastAsia="新細明體" w:hAnsi="Times New Roman" w:cs="細明體"/>
        </w:rPr>
        <w:footnoteReference w:id="7"/>
      </w:r>
      <w:r w:rsidRPr="00AE27BB">
        <w:rPr>
          <w:rFonts w:ascii="Times New Roman" w:eastAsia="新細明體" w:hAnsi="新細明體" w:hint="eastAsia"/>
        </w:rPr>
        <w:t>，標籤上資訊包括安全及有效使用、警告、預防措施、臨床藥理學、適應症、禁忌症、有害反應</w:t>
      </w:r>
      <w:r w:rsidRPr="00AE27BB">
        <w:rPr>
          <w:rStyle w:val="ac"/>
          <w:rFonts w:ascii="Times New Roman" w:eastAsia="新細明體" w:hAnsi="Times New Roman" w:cs="細明體"/>
        </w:rPr>
        <w:footnoteReference w:id="8"/>
      </w:r>
      <w:r w:rsidRPr="00AE27BB">
        <w:rPr>
          <w:rFonts w:ascii="Times New Roman" w:eastAsia="新細明體" w:hAnsi="新細明體" w:hint="eastAsia"/>
        </w:rPr>
        <w:t>。</w:t>
      </w:r>
      <w:r w:rsidRPr="00A2000B">
        <w:rPr>
          <w:rFonts w:ascii="Times New Roman" w:eastAsia="新細明體" w:hint="eastAsia"/>
        </w:rPr>
        <w:t>由於</w:t>
      </w:r>
      <w:r w:rsidRPr="00A2000B">
        <w:rPr>
          <w:rFonts w:ascii="Times New Roman" w:eastAsia="新細明體" w:hAnsi="Times New Roman"/>
        </w:rPr>
        <w:t>FDA</w:t>
      </w:r>
      <w:r w:rsidRPr="00A2000B">
        <w:rPr>
          <w:rFonts w:ascii="Times New Roman" w:eastAsia="新細明體" w:hint="eastAsia"/>
        </w:rPr>
        <w:t>表示並不會限制醫師對於已上市之藥品之使用方法</w:t>
      </w:r>
      <w:r w:rsidRPr="00A2000B">
        <w:rPr>
          <w:rStyle w:val="ac"/>
          <w:rFonts w:ascii="Times New Roman" w:eastAsia="新細明體" w:hAnsi="Times New Roman" w:cs="細明體"/>
        </w:rPr>
        <w:footnoteReference w:id="9"/>
      </w:r>
      <w:r w:rsidRPr="00A2000B">
        <w:rPr>
          <w:rFonts w:ascii="Times New Roman" w:eastAsia="新細明體" w:hint="eastAsia"/>
        </w:rPr>
        <w:t>，也不行使任何監督在</w:t>
      </w:r>
      <w:r>
        <w:rPr>
          <w:rFonts w:ascii="Times New Roman" w:eastAsia="新細明體" w:hint="eastAsia"/>
        </w:rPr>
        <w:t>用</w:t>
      </w:r>
      <w:r w:rsidRPr="00A2000B">
        <w:rPr>
          <w:rFonts w:ascii="Times New Roman" w:eastAsia="新細明體" w:hint="eastAsia"/>
        </w:rPr>
        <w:t>藥慣行上。因此，一旦藥物上市後，醫師可以基於任何目的而為處方用藥，不限於</w:t>
      </w:r>
      <w:r w:rsidRPr="00A2000B">
        <w:rPr>
          <w:rFonts w:ascii="Times New Roman" w:eastAsia="新細明體" w:hAnsi="Times New Roman"/>
        </w:rPr>
        <w:t>FDA</w:t>
      </w:r>
      <w:r w:rsidRPr="00A2000B">
        <w:rPr>
          <w:rFonts w:ascii="Times New Roman" w:eastAsia="新細明體" w:hint="eastAsia"/>
        </w:rPr>
        <w:t>核准標示於藥品外包裝的標籤或仿單所示之使用說明。故只要醫師處方用藥超過該藥</w:t>
      </w:r>
      <w:r>
        <w:rPr>
          <w:rFonts w:ascii="Times New Roman" w:eastAsia="新細明體" w:hint="eastAsia"/>
        </w:rPr>
        <w:t>品</w:t>
      </w:r>
      <w:r w:rsidRPr="00A2000B">
        <w:rPr>
          <w:rFonts w:ascii="Times New Roman" w:eastAsia="新細明體" w:hAnsi="Times New Roman"/>
        </w:rPr>
        <w:t>FDA</w:t>
      </w:r>
      <w:r w:rsidRPr="00A2000B">
        <w:rPr>
          <w:rFonts w:ascii="Times New Roman" w:eastAsia="新細明體" w:hint="eastAsia"/>
        </w:rPr>
        <w:t>原核准之使用，即被稱之</w:t>
      </w:r>
      <w:r w:rsidRPr="00A2000B">
        <w:rPr>
          <w:rFonts w:ascii="Times New Roman" w:eastAsia="新細明體" w:hAnsi="Times New Roman"/>
        </w:rPr>
        <w:t>OFF</w:t>
      </w:r>
      <w:r w:rsidRPr="00A2000B">
        <w:rPr>
          <w:rFonts w:ascii="Times New Roman" w:eastAsia="新細明體" w:hAnsi="Times New Roman" w:hint="eastAsia"/>
        </w:rPr>
        <w:t>─</w:t>
      </w:r>
      <w:r w:rsidRPr="00A2000B">
        <w:rPr>
          <w:rFonts w:ascii="Times New Roman" w:eastAsia="新細明體" w:hAnsi="Times New Roman"/>
        </w:rPr>
        <w:t>LABEL USE</w:t>
      </w:r>
      <w:r w:rsidRPr="00A2000B">
        <w:rPr>
          <w:rFonts w:ascii="Times New Roman" w:eastAsia="新細明體" w:hint="eastAsia"/>
        </w:rPr>
        <w:t>，本文認為</w:t>
      </w:r>
      <w:r w:rsidRPr="00A2000B">
        <w:rPr>
          <w:rFonts w:ascii="Times New Roman" w:eastAsia="新細明體" w:hAnsi="Times New Roman"/>
        </w:rPr>
        <w:t>Label</w:t>
      </w:r>
      <w:r w:rsidRPr="00A2000B">
        <w:rPr>
          <w:rFonts w:ascii="Times New Roman" w:eastAsia="新細明體" w:hint="eastAsia"/>
        </w:rPr>
        <w:t>就我國而言與仿單同義就稱之為仿單外使用。</w:t>
      </w:r>
    </w:p>
    <w:p w:rsidR="00DB326D" w:rsidRPr="00A2000B" w:rsidRDefault="00DB326D" w:rsidP="00DB326D">
      <w:pPr>
        <w:pStyle w:val="HTML"/>
        <w:rPr>
          <w:rFonts w:ascii="Times New Roman" w:eastAsia="新細明體" w:hAnsi="Times New Roman"/>
        </w:rPr>
      </w:pPr>
      <w:r w:rsidRPr="00A2000B">
        <w:rPr>
          <w:rFonts w:ascii="Times New Roman" w:eastAsia="新細明體" w:hAnsi="Times New Roman"/>
        </w:rPr>
        <w:t xml:space="preserve">    </w:t>
      </w:r>
      <w:r w:rsidRPr="00A2000B">
        <w:rPr>
          <w:rFonts w:ascii="Times New Roman" w:eastAsia="新細明體" w:hint="eastAsia"/>
        </w:rPr>
        <w:t>仿單外使用即未依照主管機關核准之記載內容而行使醫療器材</w:t>
      </w:r>
      <w:r w:rsidRPr="00A2000B">
        <w:rPr>
          <w:rStyle w:val="ac"/>
          <w:rFonts w:ascii="Times New Roman" w:eastAsia="新細明體" w:hAnsi="Times New Roman" w:cs="細明體"/>
        </w:rPr>
        <w:footnoteReference w:id="10"/>
      </w:r>
      <w:r w:rsidRPr="00A2000B">
        <w:rPr>
          <w:rFonts w:ascii="Times New Roman" w:eastAsia="新細明體" w:hint="eastAsia"/>
        </w:rPr>
        <w:t>或為處方用藥之行為，無論該記載內容之載體為標籤或仿單，均包括之。本文主要以藥品為例，</w:t>
      </w:r>
      <w:r>
        <w:rPr>
          <w:rFonts w:ascii="Times New Roman" w:eastAsia="新細明體" w:hint="eastAsia"/>
        </w:rPr>
        <w:t>從醫師用藥違反仿單記內容之不同加以區分，</w:t>
      </w:r>
      <w:r w:rsidRPr="00A2000B">
        <w:rPr>
          <w:rFonts w:ascii="Times New Roman" w:eastAsia="新細明體" w:hint="eastAsia"/>
        </w:rPr>
        <w:t>計有以下仿單外使用類型：</w:t>
      </w:r>
    </w:p>
    <w:p w:rsidR="00DB326D" w:rsidRPr="00ED50EA" w:rsidRDefault="00DB326D" w:rsidP="00DB326D">
      <w:pPr>
        <w:pStyle w:val="HTML"/>
        <w:numPr>
          <w:ilvl w:val="2"/>
          <w:numId w:val="1"/>
        </w:numPr>
        <w:rPr>
          <w:rFonts w:ascii="Times New Roman" w:eastAsia="新細明體" w:hAnsi="Times New Roman"/>
        </w:rPr>
      </w:pPr>
      <w:r w:rsidRPr="00ED50EA">
        <w:rPr>
          <w:rFonts w:ascii="Times New Roman" w:eastAsia="新細明體" w:hAnsi="Times New Roman" w:hint="eastAsia"/>
        </w:rPr>
        <w:t>藥品使用與仿單記載劑量（</w:t>
      </w:r>
      <w:r w:rsidRPr="00ED50EA">
        <w:rPr>
          <w:rFonts w:ascii="Times New Roman" w:eastAsia="新細明體" w:hAnsi="Times New Roman"/>
        </w:rPr>
        <w:t>dosage</w:t>
      </w:r>
      <w:r w:rsidRPr="00ED50EA">
        <w:rPr>
          <w:rFonts w:ascii="Times New Roman" w:eastAsia="新細明體" w:hAnsi="Times New Roman" w:hint="eastAsia"/>
        </w:rPr>
        <w:t>）、治療期間長短（</w:t>
      </w:r>
      <w:r w:rsidRPr="00ED50EA">
        <w:rPr>
          <w:rFonts w:ascii="Times New Roman" w:eastAsia="新細明體" w:hAnsi="Times New Roman"/>
        </w:rPr>
        <w:t>length of      therapy</w:t>
      </w:r>
      <w:r w:rsidRPr="00ED50EA">
        <w:rPr>
          <w:rFonts w:ascii="Times New Roman" w:eastAsia="新細明體" w:hAnsi="Times New Roman" w:hint="eastAsia"/>
        </w:rPr>
        <w:t>）、及注意事項（</w:t>
      </w:r>
      <w:r w:rsidRPr="00ED50EA">
        <w:rPr>
          <w:rFonts w:ascii="Times New Roman" w:eastAsia="新細明體" w:hAnsi="Times New Roman"/>
        </w:rPr>
        <w:t>precautions</w:t>
      </w:r>
      <w:r w:rsidRPr="00ED50EA">
        <w:rPr>
          <w:rFonts w:ascii="Times New Roman" w:eastAsia="新細明體" w:hAnsi="Times New Roman" w:hint="eastAsia"/>
        </w:rPr>
        <w:t>）不同</w:t>
      </w:r>
    </w:p>
    <w:p w:rsidR="00DB326D" w:rsidRDefault="00DB326D" w:rsidP="00DB326D">
      <w:pPr>
        <w:pStyle w:val="HTML"/>
        <w:numPr>
          <w:ilvl w:val="2"/>
          <w:numId w:val="1"/>
        </w:numPr>
        <w:tabs>
          <w:tab w:val="clear" w:pos="916"/>
          <w:tab w:val="clear" w:pos="1832"/>
          <w:tab w:val="clear" w:pos="2748"/>
          <w:tab w:val="left" w:pos="180"/>
          <w:tab w:val="left" w:pos="900"/>
        </w:tabs>
        <w:ind w:left="180" w:hanging="180"/>
      </w:pPr>
      <w:r>
        <w:rPr>
          <w:rFonts w:hint="eastAsia"/>
        </w:rPr>
        <w:t>使用途徑、禁忌症與仿單所載建議途徑、禁忌症（</w:t>
      </w:r>
      <w:r w:rsidRPr="00442192">
        <w:rPr>
          <w:rFonts w:ascii="Times New Roman" w:hAnsi="Times New Roman" w:cs="Times New Roman"/>
        </w:rPr>
        <w:t>contraindication</w:t>
      </w:r>
      <w:r>
        <w:rPr>
          <w:rFonts w:ascii="Times New Roman" w:hAnsi="Times New Roman" w:cs="Times New Roman" w:hint="eastAsia"/>
        </w:rPr>
        <w:t>）</w:t>
      </w:r>
      <w:r>
        <w:rPr>
          <w:rFonts w:hint="eastAsia"/>
        </w:rPr>
        <w:t>不同</w:t>
      </w:r>
    </w:p>
    <w:p w:rsidR="00DB326D" w:rsidRPr="00F07224" w:rsidRDefault="00DB326D" w:rsidP="00DB326D">
      <w:pPr>
        <w:pStyle w:val="HTML"/>
        <w:numPr>
          <w:ilvl w:val="2"/>
          <w:numId w:val="1"/>
        </w:numPr>
        <w:tabs>
          <w:tab w:val="clear" w:pos="916"/>
          <w:tab w:val="left" w:pos="180"/>
        </w:tabs>
        <w:ind w:left="1080" w:hanging="1080"/>
        <w:rPr>
          <w:rFonts w:ascii="Times New Roman" w:eastAsia="新細明體" w:hAnsi="Times New Roman"/>
        </w:rPr>
      </w:pPr>
      <w:r w:rsidRPr="00F07224">
        <w:rPr>
          <w:rFonts w:ascii="Times New Roman" w:eastAsia="新細明體" w:hint="eastAsia"/>
        </w:rPr>
        <w:t>使用族群與仿單建議族群</w:t>
      </w:r>
      <w:r>
        <w:rPr>
          <w:rFonts w:ascii="Times New Roman" w:eastAsia="新細明體" w:hint="eastAsia"/>
        </w:rPr>
        <w:t>（</w:t>
      </w:r>
      <w:r>
        <w:rPr>
          <w:rFonts w:ascii="Times New Roman" w:eastAsia="新細明體" w:hint="eastAsia"/>
        </w:rPr>
        <w:t>population</w:t>
      </w:r>
      <w:r>
        <w:rPr>
          <w:rFonts w:ascii="Times New Roman" w:eastAsia="新細明體"/>
        </w:rPr>
        <w:t>）</w:t>
      </w:r>
      <w:r w:rsidRPr="00F07224">
        <w:rPr>
          <w:rFonts w:ascii="Times New Roman" w:eastAsia="新細明體" w:hint="eastAsia"/>
        </w:rPr>
        <w:t>不同</w:t>
      </w:r>
    </w:p>
    <w:p w:rsidR="00DB326D" w:rsidRPr="00E054E5" w:rsidRDefault="00DB326D" w:rsidP="00DB326D">
      <w:pPr>
        <w:pStyle w:val="HTML"/>
        <w:numPr>
          <w:ilvl w:val="2"/>
          <w:numId w:val="1"/>
        </w:numPr>
        <w:tabs>
          <w:tab w:val="clear" w:pos="916"/>
          <w:tab w:val="left" w:pos="180"/>
        </w:tabs>
        <w:rPr>
          <w:rFonts w:ascii="Times New Roman" w:eastAsia="新細明體" w:hAnsi="Times New Roman"/>
        </w:rPr>
      </w:pPr>
      <w:r w:rsidRPr="00E054E5">
        <w:rPr>
          <w:rFonts w:ascii="Times New Roman" w:eastAsia="新細明體" w:hint="eastAsia"/>
        </w:rPr>
        <w:t>使用症狀與仿單建議適應症</w:t>
      </w:r>
      <w:r>
        <w:rPr>
          <w:rFonts w:ascii="Times New Roman" w:eastAsia="新細明體" w:hint="eastAsia"/>
        </w:rPr>
        <w:t>（</w:t>
      </w:r>
      <w:r>
        <w:rPr>
          <w:rFonts w:ascii="Times New Roman" w:eastAsia="新細明體" w:hint="eastAsia"/>
        </w:rPr>
        <w:t>indication</w:t>
      </w:r>
      <w:r>
        <w:rPr>
          <w:rFonts w:ascii="Times New Roman" w:eastAsia="新細明體"/>
        </w:rPr>
        <w:t>）</w:t>
      </w:r>
      <w:r w:rsidRPr="00E054E5">
        <w:rPr>
          <w:rFonts w:ascii="Times New Roman" w:eastAsia="新細明體" w:hint="eastAsia"/>
        </w:rPr>
        <w:t>不同</w:t>
      </w:r>
      <w:r w:rsidRPr="00E054E5">
        <w:rPr>
          <w:rFonts w:ascii="Times New Roman" w:eastAsia="新細明體" w:hAnsi="Times New Roman"/>
        </w:rPr>
        <w:t xml:space="preserve">    </w:t>
      </w:r>
    </w:p>
    <w:p w:rsidR="00DB326D" w:rsidRPr="00E054E5" w:rsidRDefault="00DB326D" w:rsidP="00DB326D">
      <w:pPr>
        <w:pStyle w:val="HTML"/>
        <w:rPr>
          <w:rFonts w:ascii="Times New Roman" w:eastAsia="新細明體" w:hAnsi="Times New Roman"/>
        </w:rPr>
      </w:pPr>
      <w:r w:rsidRPr="00E054E5">
        <w:rPr>
          <w:rFonts w:ascii="Times New Roman" w:eastAsia="新細明體" w:hAnsi="Times New Roman"/>
        </w:rPr>
        <w:t xml:space="preserve">   </w:t>
      </w:r>
      <w:r>
        <w:rPr>
          <w:rFonts w:ascii="Times New Roman" w:eastAsia="新細明體" w:hAnsi="Times New Roman" w:hint="eastAsia"/>
        </w:rPr>
        <w:t xml:space="preserve"> </w:t>
      </w:r>
      <w:r w:rsidRPr="00E054E5">
        <w:rPr>
          <w:rFonts w:ascii="Times New Roman" w:eastAsia="新細明體" w:hint="eastAsia"/>
        </w:rPr>
        <w:t>上開類型中以第四種類型在訴訟上最為常見，因此亦有人直接</w:t>
      </w:r>
      <w:r>
        <w:rPr>
          <w:rFonts w:ascii="Times New Roman" w:eastAsia="新細明體" w:hint="eastAsia"/>
        </w:rPr>
        <w:t>將</w:t>
      </w:r>
      <w:r w:rsidRPr="00E054E5">
        <w:rPr>
          <w:rFonts w:ascii="Times New Roman" w:eastAsia="新細明體" w:hAnsi="Times New Roman"/>
        </w:rPr>
        <w:t xml:space="preserve">off-label use </w:t>
      </w:r>
      <w:r>
        <w:rPr>
          <w:rFonts w:ascii="Times New Roman" w:eastAsia="新細明體" w:hAnsi="Times New Roman" w:hint="eastAsia"/>
        </w:rPr>
        <w:t>的</w:t>
      </w:r>
      <w:r w:rsidRPr="00E054E5">
        <w:rPr>
          <w:rFonts w:ascii="Times New Roman" w:eastAsia="新細明體" w:hint="eastAsia"/>
        </w:rPr>
        <w:t>討論定位為適應症以外之使用</w:t>
      </w:r>
      <w:r w:rsidRPr="00E054E5">
        <w:rPr>
          <w:rStyle w:val="ac"/>
          <w:rFonts w:ascii="Times New Roman" w:eastAsia="新細明體" w:hAnsi="Times New Roman" w:cs="細明體"/>
        </w:rPr>
        <w:footnoteReference w:id="11"/>
      </w:r>
      <w:r w:rsidRPr="00E054E5">
        <w:rPr>
          <w:rFonts w:ascii="Times New Roman" w:eastAsia="新細明體" w:hint="eastAsia"/>
        </w:rPr>
        <w:t>。事實上，上開類型中關於使用途徑未依仿單核准之方式，依我國藥事法第七條規定「本法所稱新藥，係指經中央衛生主管機關審查認定屬新成分、新療效複方或新使用途徑製劑之藥品」。所稱新使用途徑，依該法施行細則第二條規定「本法第七條所稱．．．新使用途徑，係指已核准藥品改變其使用途徑者」。因此就第二種類型在我國因藥物使用途徑之改變</w:t>
      </w:r>
      <w:r w:rsidRPr="00E054E5">
        <w:rPr>
          <w:rFonts w:ascii="Times New Roman" w:eastAsia="新細明體" w:hint="eastAsia"/>
        </w:rPr>
        <w:lastRenderedPageBreak/>
        <w:t>與原核准仿單建議不同，即將該藥物屬性變更為新藥，對於藥物安全性已無法認有相當之保證，故該用藥須經人體試驗，其治療必須遵守人體試驗相關規範，</w:t>
      </w:r>
      <w:r w:rsidRPr="00E054E5">
        <w:rPr>
          <w:rFonts w:ascii="Times New Roman" w:eastAsia="新細明體" w:hAnsi="Times New Roman"/>
        </w:rPr>
        <w:t xml:space="preserve"> </w:t>
      </w:r>
      <w:r w:rsidRPr="00E054E5">
        <w:rPr>
          <w:rFonts w:ascii="Times New Roman" w:eastAsia="新細明體" w:hint="eastAsia"/>
        </w:rPr>
        <w:t>不存在醫師得自由裁量之空間。而另就不同族群用藥部分</w:t>
      </w:r>
      <w:r>
        <w:rPr>
          <w:rFonts w:ascii="Times New Roman" w:eastAsia="新細明體" w:hint="eastAsia"/>
        </w:rPr>
        <w:t>，</w:t>
      </w:r>
      <w:r w:rsidRPr="00E054E5">
        <w:rPr>
          <w:rFonts w:ascii="Times New Roman" w:eastAsia="新細明體" w:hint="eastAsia"/>
        </w:rPr>
        <w:t>由於特定族群例如未成年人或精神耗弱之人，對於參與人體試驗之限制，亦導致原藥品進行人體試驗時對於特定族群之安全性或有效性，並無法全面顧及，因此形成</w:t>
      </w:r>
      <w:r>
        <w:rPr>
          <w:rFonts w:ascii="Times New Roman" w:eastAsia="新細明體" w:hint="eastAsia"/>
        </w:rPr>
        <w:t>用</w:t>
      </w:r>
      <w:r w:rsidRPr="00E054E5">
        <w:rPr>
          <w:rFonts w:ascii="Times New Roman" w:eastAsia="新細明體" w:hint="eastAsia"/>
        </w:rPr>
        <w:t>藥</w:t>
      </w:r>
      <w:r>
        <w:rPr>
          <w:rFonts w:ascii="Times New Roman" w:eastAsia="新細明體" w:hint="eastAsia"/>
        </w:rPr>
        <w:t>效果</w:t>
      </w:r>
      <w:r w:rsidRPr="00E054E5">
        <w:rPr>
          <w:rFonts w:ascii="Times New Roman" w:eastAsia="新細明體" w:hint="eastAsia"/>
        </w:rPr>
        <w:t>上的漏洞，但</w:t>
      </w:r>
      <w:r>
        <w:rPr>
          <w:rFonts w:ascii="Times New Roman" w:eastAsia="新細明體" w:hint="eastAsia"/>
        </w:rPr>
        <w:t>醫療</w:t>
      </w:r>
      <w:r w:rsidRPr="00E054E5">
        <w:rPr>
          <w:rFonts w:ascii="Times New Roman" w:eastAsia="新細明體" w:hint="eastAsia"/>
        </w:rPr>
        <w:t>實務上又有用藥之需求，畢竟疾病之發生是不挑對象，因此這種類型有增加之趨勢</w:t>
      </w:r>
      <w:r w:rsidRPr="00E054E5">
        <w:rPr>
          <w:rStyle w:val="ac"/>
          <w:rFonts w:ascii="Times New Roman" w:eastAsia="新細明體" w:hAnsi="Times New Roman" w:cs="細明體"/>
        </w:rPr>
        <w:footnoteReference w:id="12"/>
      </w:r>
      <w:r w:rsidRPr="00E054E5">
        <w:rPr>
          <w:rFonts w:ascii="Times New Roman" w:eastAsia="新細明體" w:hint="eastAsia"/>
        </w:rPr>
        <w:t>。</w:t>
      </w:r>
    </w:p>
    <w:p w:rsidR="00DB326D" w:rsidRPr="00D71EB5" w:rsidRDefault="00DB326D" w:rsidP="00DB326D">
      <w:pPr>
        <w:pStyle w:val="HTML"/>
        <w:rPr>
          <w:sz w:val="28"/>
          <w:szCs w:val="28"/>
        </w:rPr>
      </w:pPr>
      <w:r w:rsidRPr="00D71EB5">
        <w:rPr>
          <w:rFonts w:hint="eastAsia"/>
          <w:sz w:val="28"/>
          <w:szCs w:val="28"/>
        </w:rPr>
        <w:t>二、</w:t>
      </w:r>
      <w:r>
        <w:rPr>
          <w:rFonts w:hint="eastAsia"/>
          <w:sz w:val="28"/>
          <w:szCs w:val="28"/>
        </w:rPr>
        <w:t>美國及我國</w:t>
      </w:r>
      <w:r w:rsidRPr="00D71EB5">
        <w:rPr>
          <w:rFonts w:hint="eastAsia"/>
          <w:sz w:val="28"/>
          <w:szCs w:val="28"/>
        </w:rPr>
        <w:t>醫療上</w:t>
      </w:r>
      <w:r w:rsidRPr="00B97FE7">
        <w:rPr>
          <w:rFonts w:ascii="Times New Roman" w:hAnsi="Times New Roman" w:cs="Times New Roman"/>
          <w:sz w:val="28"/>
          <w:szCs w:val="28"/>
        </w:rPr>
        <w:t>OFF─LABEL USE</w:t>
      </w:r>
      <w:r w:rsidRPr="00D71EB5">
        <w:rPr>
          <w:rFonts w:hint="eastAsia"/>
          <w:sz w:val="28"/>
          <w:szCs w:val="28"/>
        </w:rPr>
        <w:t>之現況</w:t>
      </w:r>
    </w:p>
    <w:p w:rsidR="00DB326D" w:rsidRPr="00E054E5" w:rsidRDefault="00DB326D" w:rsidP="00DB326D">
      <w:pPr>
        <w:pStyle w:val="HTML"/>
        <w:rPr>
          <w:rFonts w:ascii="Times New Roman" w:eastAsia="新細明體" w:hAnsi="Times New Roman"/>
        </w:rPr>
      </w:pPr>
      <w:r>
        <w:t xml:space="preserve">    </w:t>
      </w:r>
      <w:r w:rsidRPr="00E054E5">
        <w:rPr>
          <w:rFonts w:ascii="Times New Roman" w:eastAsia="新細明體" w:hint="eastAsia"/>
        </w:rPr>
        <w:t>在</w:t>
      </w:r>
      <w:r w:rsidRPr="00E054E5">
        <w:rPr>
          <w:rFonts w:ascii="Times New Roman" w:eastAsia="新細明體" w:hAnsi="Times New Roman"/>
        </w:rPr>
        <w:t>1995</w:t>
      </w:r>
      <w:r w:rsidRPr="00E054E5">
        <w:rPr>
          <w:rFonts w:ascii="Times New Roman" w:eastAsia="新細明體" w:hint="eastAsia"/>
        </w:rPr>
        <w:t>年美國醫學學會統計在美國約有百分之</w:t>
      </w:r>
      <w:r w:rsidRPr="00E054E5">
        <w:rPr>
          <w:rFonts w:ascii="Times New Roman" w:eastAsia="新細明體" w:hAnsi="Times New Roman"/>
        </w:rPr>
        <w:t>40</w:t>
      </w:r>
      <w:r w:rsidRPr="00E054E5">
        <w:rPr>
          <w:rFonts w:ascii="Times New Roman" w:eastAsia="新細明體" w:hint="eastAsia"/>
        </w:rPr>
        <w:t>至</w:t>
      </w:r>
      <w:r w:rsidRPr="00E054E5">
        <w:rPr>
          <w:rFonts w:ascii="Times New Roman" w:eastAsia="新細明體" w:hAnsi="Times New Roman"/>
        </w:rPr>
        <w:t>60</w:t>
      </w:r>
      <w:r w:rsidRPr="00E054E5">
        <w:rPr>
          <w:rFonts w:ascii="Times New Roman" w:eastAsia="新細明體" w:hint="eastAsia"/>
        </w:rPr>
        <w:t>之處方用藥為仿單外使用，廣泛使用在腫瘤科、罕見疾病、愛滋病、小兒科。在癌症使用比例約</w:t>
      </w:r>
      <w:r>
        <w:rPr>
          <w:rFonts w:ascii="Times New Roman" w:eastAsia="新細明體"/>
        </w:rPr>
        <w:t>5o</w:t>
      </w:r>
      <w:r>
        <w:rPr>
          <w:rFonts w:ascii="新細明體" w:eastAsia="新細明體" w:hAnsi="新細明體" w:hint="eastAsia"/>
        </w:rPr>
        <w:t>％</w:t>
      </w:r>
      <w:r w:rsidRPr="00E054E5">
        <w:rPr>
          <w:rFonts w:ascii="Times New Roman" w:eastAsia="新細明體" w:hint="eastAsia"/>
        </w:rPr>
        <w:t>，在罕見疾病比例約</w:t>
      </w:r>
      <w:r w:rsidRPr="00E054E5">
        <w:rPr>
          <w:rFonts w:ascii="Times New Roman" w:eastAsia="新細明體" w:hAnsi="Times New Roman"/>
        </w:rPr>
        <w:t>80</w:t>
      </w:r>
      <w:r>
        <w:rPr>
          <w:rFonts w:ascii="新細明體" w:eastAsia="新細明體" w:hAnsi="新細明體" w:hint="eastAsia"/>
        </w:rPr>
        <w:t>％</w:t>
      </w:r>
      <w:r w:rsidRPr="00E054E5">
        <w:rPr>
          <w:rFonts w:ascii="Times New Roman" w:eastAsia="新細明體" w:hint="eastAsia"/>
        </w:rPr>
        <w:t>至</w:t>
      </w:r>
      <w:r w:rsidRPr="00E054E5">
        <w:rPr>
          <w:rFonts w:ascii="Times New Roman" w:eastAsia="新細明體" w:hAnsi="Times New Roman"/>
        </w:rPr>
        <w:t>90</w:t>
      </w:r>
      <w:r>
        <w:rPr>
          <w:rFonts w:ascii="新細明體" w:eastAsia="新細明體" w:hAnsi="新細明體" w:hint="eastAsia"/>
        </w:rPr>
        <w:t>％</w:t>
      </w:r>
      <w:r w:rsidRPr="00E054E5">
        <w:rPr>
          <w:rFonts w:ascii="Times New Roman" w:eastAsia="新細明體" w:hint="eastAsia"/>
        </w:rPr>
        <w:t>，在小兒科約</w:t>
      </w:r>
      <w:r w:rsidRPr="00E054E5">
        <w:rPr>
          <w:rFonts w:ascii="Times New Roman" w:eastAsia="新細明體" w:hAnsi="Times New Roman"/>
        </w:rPr>
        <w:t>80</w:t>
      </w:r>
      <w:r>
        <w:rPr>
          <w:rFonts w:ascii="新細明體" w:eastAsia="新細明體" w:hAnsi="新細明體" w:hint="eastAsia"/>
        </w:rPr>
        <w:t>％</w:t>
      </w:r>
      <w:r w:rsidRPr="00E054E5">
        <w:rPr>
          <w:rStyle w:val="ac"/>
          <w:rFonts w:ascii="Times New Roman" w:eastAsia="新細明體" w:hAnsi="Times New Roman" w:cs="細明體"/>
        </w:rPr>
        <w:footnoteReference w:id="13"/>
      </w:r>
      <w:r>
        <w:rPr>
          <w:rFonts w:ascii="Times New Roman" w:eastAsia="新細明體" w:hAnsi="Times New Roman" w:hint="eastAsia"/>
        </w:rPr>
        <w:t>；另以處方藥而言，在</w:t>
      </w:r>
      <w:r>
        <w:rPr>
          <w:rFonts w:ascii="Times New Roman" w:eastAsia="新細明體" w:hAnsi="Times New Roman"/>
        </w:rPr>
        <w:t>2001</w:t>
      </w:r>
      <w:r>
        <w:rPr>
          <w:rFonts w:ascii="Times New Roman" w:eastAsia="新細明體" w:hAnsi="Times New Roman" w:hint="eastAsia"/>
        </w:rPr>
        <w:t>年據估計美國</w:t>
      </w:r>
      <w:r>
        <w:rPr>
          <w:rFonts w:ascii="Times New Roman" w:eastAsia="新細明體" w:hAnsi="Times New Roman"/>
        </w:rPr>
        <w:t>7</w:t>
      </w:r>
      <w:r>
        <w:rPr>
          <w:rFonts w:ascii="Times New Roman" w:eastAsia="新細明體" w:hAnsi="Times New Roman" w:hint="eastAsia"/>
        </w:rPr>
        <w:t>億</w:t>
      </w:r>
      <w:r>
        <w:rPr>
          <w:rFonts w:ascii="Times New Roman" w:eastAsia="新細明體" w:hAnsi="Times New Roman"/>
        </w:rPr>
        <w:t>2</w:t>
      </w:r>
      <w:r>
        <w:rPr>
          <w:rFonts w:ascii="Times New Roman" w:eastAsia="新細明體" w:hAnsi="Times New Roman" w:hint="eastAsia"/>
        </w:rPr>
        <w:t>千</w:t>
      </w:r>
      <w:r>
        <w:rPr>
          <w:rFonts w:ascii="Times New Roman" w:eastAsia="新細明體" w:hAnsi="Times New Roman"/>
        </w:rPr>
        <w:t>5</w:t>
      </w:r>
      <w:r>
        <w:rPr>
          <w:rFonts w:ascii="Times New Roman" w:eastAsia="新細明體" w:hAnsi="Times New Roman" w:hint="eastAsia"/>
        </w:rPr>
        <w:t>百萬個處方藥物中，約有</w:t>
      </w:r>
      <w:r>
        <w:rPr>
          <w:rFonts w:ascii="Times New Roman" w:eastAsia="新細明體" w:hAnsi="Times New Roman"/>
        </w:rPr>
        <w:t>1</w:t>
      </w:r>
      <w:r>
        <w:rPr>
          <w:rFonts w:ascii="Times New Roman" w:eastAsia="新細明體" w:hAnsi="Times New Roman" w:hint="eastAsia"/>
        </w:rPr>
        <w:t>億</w:t>
      </w:r>
      <w:r>
        <w:rPr>
          <w:rFonts w:ascii="Times New Roman" w:eastAsia="新細明體" w:hAnsi="Times New Roman"/>
        </w:rPr>
        <w:t>5</w:t>
      </w:r>
      <w:r>
        <w:rPr>
          <w:rFonts w:ascii="Times New Roman" w:eastAsia="新細明體" w:hAnsi="Times New Roman" w:hint="eastAsia"/>
        </w:rPr>
        <w:t>千萬個處方藥是仿單外使用，約佔處方藥物</w:t>
      </w:r>
      <w:r>
        <w:rPr>
          <w:rFonts w:ascii="Times New Roman" w:eastAsia="新細明體" w:hAnsi="Times New Roman"/>
        </w:rPr>
        <w:t>21</w:t>
      </w:r>
      <w:r>
        <w:rPr>
          <w:rFonts w:ascii="新細明體" w:eastAsia="新細明體" w:hAnsi="新細明體" w:hint="eastAsia"/>
        </w:rPr>
        <w:t>％</w:t>
      </w:r>
      <w:r>
        <w:rPr>
          <w:rStyle w:val="ac"/>
          <w:rFonts w:ascii="Times New Roman" w:eastAsia="新細明體" w:hAnsi="Times New Roman" w:cs="細明體"/>
        </w:rPr>
        <w:footnoteReference w:id="14"/>
      </w:r>
      <w:r>
        <w:rPr>
          <w:rFonts w:ascii="Times New Roman" w:eastAsia="新細明體" w:hAnsi="Times New Roman" w:hint="eastAsia"/>
        </w:rPr>
        <w:t>；若以藥物作用種類而言，仿單外使用以抗痙攣藥物最高，高達</w:t>
      </w:r>
      <w:r>
        <w:rPr>
          <w:rFonts w:ascii="Times New Roman" w:eastAsia="新細明體" w:hAnsi="Times New Roman"/>
        </w:rPr>
        <w:t>74</w:t>
      </w:r>
      <w:r>
        <w:rPr>
          <w:rFonts w:ascii="新細明體" w:eastAsia="新細明體" w:hAnsi="新細明體" w:hint="eastAsia"/>
        </w:rPr>
        <w:t>％，其次為抗精神病藥物約</w:t>
      </w:r>
      <w:r>
        <w:rPr>
          <w:rFonts w:ascii="Times New Roman" w:eastAsia="新細明體" w:hAnsi="Times New Roman"/>
        </w:rPr>
        <w:t>60</w:t>
      </w:r>
      <w:r>
        <w:rPr>
          <w:rFonts w:ascii="新細明體" w:eastAsia="新細明體" w:hAnsi="新細明體" w:hint="eastAsia"/>
        </w:rPr>
        <w:t>％</w:t>
      </w:r>
      <w:r>
        <w:rPr>
          <w:rFonts w:ascii="Times New Roman" w:eastAsia="新細明體" w:hAnsi="Times New Roman" w:hint="eastAsia"/>
        </w:rPr>
        <w:t>，另外抗生素藥物亦占</w:t>
      </w:r>
      <w:r>
        <w:rPr>
          <w:rFonts w:ascii="Times New Roman" w:eastAsia="新細明體" w:hAnsi="Times New Roman"/>
        </w:rPr>
        <w:t>41</w:t>
      </w:r>
      <w:r>
        <w:rPr>
          <w:rFonts w:ascii="新細明體" w:eastAsia="新細明體" w:hAnsi="新細明體" w:hint="eastAsia"/>
        </w:rPr>
        <w:t>％</w:t>
      </w:r>
      <w:r>
        <w:rPr>
          <w:rStyle w:val="ac"/>
          <w:rFonts w:ascii="新細明體" w:eastAsia="新細明體" w:hAnsi="新細明體" w:cs="細明體"/>
        </w:rPr>
        <w:footnoteReference w:id="15"/>
      </w:r>
      <w:r w:rsidRPr="00E054E5">
        <w:rPr>
          <w:rFonts w:ascii="Times New Roman" w:eastAsia="新細明體" w:hint="eastAsia"/>
        </w:rPr>
        <w:t>。前幾名銷售藥物仿單外使用之處方從</w:t>
      </w:r>
      <w:r w:rsidRPr="00E054E5">
        <w:rPr>
          <w:rFonts w:ascii="Times New Roman" w:eastAsia="新細明體" w:hAnsi="Times New Roman"/>
        </w:rPr>
        <w:t>1998</w:t>
      </w:r>
      <w:r w:rsidRPr="00E054E5">
        <w:rPr>
          <w:rFonts w:ascii="Times New Roman" w:eastAsia="新細明體" w:hint="eastAsia"/>
        </w:rPr>
        <w:t>年至</w:t>
      </w:r>
      <w:r w:rsidRPr="00E054E5">
        <w:rPr>
          <w:rFonts w:ascii="Times New Roman" w:eastAsia="新細明體" w:hAnsi="Times New Roman"/>
        </w:rPr>
        <w:t>2003</w:t>
      </w:r>
      <w:r w:rsidRPr="00E054E5">
        <w:rPr>
          <w:rFonts w:ascii="Times New Roman" w:eastAsia="新細明體" w:hint="eastAsia"/>
        </w:rPr>
        <w:t>年呈現</w:t>
      </w:r>
      <w:r w:rsidRPr="00E054E5">
        <w:rPr>
          <w:rFonts w:ascii="Times New Roman" w:eastAsia="新細明體" w:hAnsi="Times New Roman"/>
        </w:rPr>
        <w:t>2</w:t>
      </w:r>
      <w:r w:rsidRPr="00E054E5">
        <w:rPr>
          <w:rFonts w:ascii="Times New Roman" w:eastAsia="新細明體" w:hint="eastAsia"/>
        </w:rPr>
        <w:t>倍數成長，但美國大眾並不知道仿單外使用用藥如此普遍，引起注意往往是仿單外使用造成負面有害人體之結果，例如惠氏藥廠生產</w:t>
      </w:r>
      <w:proofErr w:type="spellStart"/>
      <w:r w:rsidRPr="00E054E5">
        <w:rPr>
          <w:rFonts w:ascii="Times New Roman" w:eastAsia="新細明體" w:hAnsi="Times New Roman"/>
        </w:rPr>
        <w:t>fenfluramine</w:t>
      </w:r>
      <w:proofErr w:type="spellEnd"/>
      <w:r w:rsidRPr="00E054E5">
        <w:rPr>
          <w:rFonts w:ascii="Times New Roman" w:eastAsia="新細明體" w:hint="eastAsia"/>
        </w:rPr>
        <w:t>（</w:t>
      </w:r>
      <w:r>
        <w:rPr>
          <w:rFonts w:ascii="Times New Roman" w:eastAsia="新細明體" w:hint="eastAsia"/>
        </w:rPr>
        <w:t>中文藥名</w:t>
      </w:r>
      <w:r w:rsidRPr="00E054E5">
        <w:rPr>
          <w:rFonts w:ascii="Times New Roman" w:eastAsia="新細明體" w:hint="eastAsia"/>
        </w:rPr>
        <w:t>芬氟拉明）於</w:t>
      </w:r>
      <w:r w:rsidRPr="00E054E5">
        <w:rPr>
          <w:rFonts w:ascii="Times New Roman" w:eastAsia="新細明體" w:hAnsi="Times New Roman"/>
        </w:rPr>
        <w:t>1993</w:t>
      </w:r>
      <w:r w:rsidRPr="00E054E5">
        <w:rPr>
          <w:rFonts w:ascii="Times New Roman" w:eastAsia="新細明體" w:hint="eastAsia"/>
        </w:rPr>
        <w:t>年</w:t>
      </w:r>
      <w:r w:rsidRPr="00E054E5">
        <w:rPr>
          <w:rFonts w:ascii="Times New Roman" w:eastAsia="新細明體" w:hAnsi="Times New Roman"/>
        </w:rPr>
        <w:t>FDA</w:t>
      </w:r>
      <w:r w:rsidRPr="00E054E5">
        <w:rPr>
          <w:rFonts w:ascii="Times New Roman" w:eastAsia="新細明體" w:hint="eastAsia"/>
        </w:rPr>
        <w:t>核准用於短期而非長期肥胖症之治療，</w:t>
      </w:r>
      <w:proofErr w:type="spellStart"/>
      <w:r w:rsidRPr="00A35653">
        <w:rPr>
          <w:rFonts w:ascii="Times New Roman" w:eastAsia="新細明體" w:hAnsi="Times New Roman" w:cs="標楷體"/>
          <w:color w:val="000000"/>
          <w:szCs w:val="28"/>
        </w:rPr>
        <w:t>P</w:t>
      </w:r>
      <w:r w:rsidRPr="00A35653">
        <w:rPr>
          <w:rFonts w:ascii="Times New Roman" w:eastAsia="新細明體" w:hAnsi="Times New Roman" w:cs="標楷體"/>
          <w:szCs w:val="28"/>
        </w:rPr>
        <w:t>hentermine</w:t>
      </w:r>
      <w:proofErr w:type="spellEnd"/>
      <w:r w:rsidRPr="00A35653">
        <w:rPr>
          <w:rFonts w:ascii="Times New Roman" w:eastAsia="新細明體" w:hAnsi="Times New Roman" w:cs="標楷體" w:hint="eastAsia"/>
          <w:szCs w:val="28"/>
        </w:rPr>
        <w:t>亦為</w:t>
      </w:r>
      <w:r w:rsidRPr="00A35653">
        <w:rPr>
          <w:rFonts w:ascii="Times New Roman" w:eastAsia="新細明體" w:hAnsi="Times New Roman" w:cs="標楷體"/>
          <w:szCs w:val="28"/>
        </w:rPr>
        <w:t>FDA</w:t>
      </w:r>
      <w:r w:rsidRPr="00A35653">
        <w:rPr>
          <w:rFonts w:ascii="Times New Roman" w:eastAsia="新細明體" w:hAnsi="Times New Roman" w:cs="標楷體" w:hint="eastAsia"/>
          <w:szCs w:val="28"/>
        </w:rPr>
        <w:t>核准用來治療肥胖，但各別只能用於短期（數週）</w:t>
      </w:r>
      <w:r>
        <w:rPr>
          <w:rFonts w:ascii="Times New Roman" w:eastAsia="新細明體" w:hAnsi="Times New Roman" w:cs="標楷體" w:hint="eastAsia"/>
          <w:szCs w:val="28"/>
        </w:rPr>
        <w:t>用藥</w:t>
      </w:r>
      <w:r w:rsidRPr="00A35653">
        <w:rPr>
          <w:rFonts w:ascii="Times New Roman" w:eastAsia="新細明體" w:hAnsi="Times New Roman" w:cs="標楷體" w:hint="eastAsia"/>
          <w:szCs w:val="28"/>
        </w:rPr>
        <w:t>，但有些醫師將二種複合使用（</w:t>
      </w:r>
      <w:proofErr w:type="spellStart"/>
      <w:r w:rsidRPr="00A35653">
        <w:rPr>
          <w:rFonts w:ascii="Times New Roman" w:eastAsia="新細明體" w:hAnsi="Times New Roman" w:cs="標楷體"/>
          <w:szCs w:val="28"/>
        </w:rPr>
        <w:t>phen</w:t>
      </w:r>
      <w:proofErr w:type="spellEnd"/>
      <w:r w:rsidRPr="00A35653">
        <w:rPr>
          <w:rFonts w:ascii="Times New Roman" w:eastAsia="新細明體" w:hAnsi="Times New Roman" w:cs="標楷體"/>
          <w:szCs w:val="28"/>
        </w:rPr>
        <w:t>-fen</w:t>
      </w:r>
      <w:r w:rsidRPr="00A35653">
        <w:rPr>
          <w:rFonts w:ascii="Times New Roman" w:eastAsia="新細明體" w:hAnsi="Times New Roman" w:cs="標楷體" w:hint="eastAsia"/>
          <w:szCs w:val="28"/>
        </w:rPr>
        <w:t>，芬芬）</w:t>
      </w:r>
      <w:r>
        <w:rPr>
          <w:rFonts w:ascii="Times New Roman" w:eastAsia="新細明體" w:hAnsi="Times New Roman" w:cs="標楷體" w:hint="eastAsia"/>
          <w:szCs w:val="28"/>
        </w:rPr>
        <w:t>，</w:t>
      </w:r>
      <w:r w:rsidRPr="00A35653">
        <w:rPr>
          <w:rFonts w:ascii="Times New Roman" w:eastAsia="新細明體" w:hAnsi="Times New Roman" w:hint="eastAsia"/>
        </w:rPr>
        <w:t>用於長期服用抑制食欲，達到長期減肥之用途（與仿單上適應症及服用期限有違），已經三百萬人使用後始發現此仿單外使用有造成心臟瓣膜損害。另外諾華藥廠所生產</w:t>
      </w:r>
      <w:proofErr w:type="spellStart"/>
      <w:r w:rsidRPr="00A35653">
        <w:rPr>
          <w:rFonts w:ascii="Times New Roman" w:eastAsia="新細明體" w:hAnsi="Times New Roman"/>
        </w:rPr>
        <w:t>Letrozole</w:t>
      </w:r>
      <w:proofErr w:type="spellEnd"/>
      <w:r w:rsidRPr="00A35653">
        <w:rPr>
          <w:rFonts w:ascii="Times New Roman" w:eastAsia="新細明體" w:hAnsi="Times New Roman" w:hint="eastAsia"/>
        </w:rPr>
        <w:t>（</w:t>
      </w:r>
      <w:proofErr w:type="spellStart"/>
      <w:r w:rsidRPr="00A35653">
        <w:rPr>
          <w:rFonts w:ascii="Times New Roman" w:eastAsia="新細明體" w:hAnsi="Times New Roman" w:cs="Tahoma"/>
          <w:szCs w:val="20"/>
        </w:rPr>
        <w:t>Femara</w:t>
      </w:r>
      <w:proofErr w:type="spellEnd"/>
      <w:r w:rsidRPr="00A35653">
        <w:rPr>
          <w:rFonts w:ascii="Times New Roman" w:eastAsia="新細明體" w:hAnsi="Times New Roman" w:cs="Tahoma" w:hint="eastAsia"/>
          <w:szCs w:val="20"/>
        </w:rPr>
        <w:t>，中文藥名</w:t>
      </w:r>
      <w:r w:rsidRPr="00A35653">
        <w:rPr>
          <w:rFonts w:ascii="Times New Roman" w:eastAsia="新細明體" w:hAnsi="Times New Roman" w:hint="eastAsia"/>
        </w:rPr>
        <w:t>復乳納）</w:t>
      </w:r>
      <w:r w:rsidRPr="00A35653">
        <w:rPr>
          <w:rFonts w:ascii="Times New Roman" w:eastAsia="新細明體" w:hAnsi="Times New Roman"/>
        </w:rPr>
        <w:t>FDA</w:t>
      </w:r>
      <w:r w:rsidRPr="00A35653">
        <w:rPr>
          <w:rFonts w:ascii="Times New Roman" w:eastAsia="新細明體" w:hAnsi="Times New Roman" w:hint="eastAsia"/>
        </w:rPr>
        <w:t>核准</w:t>
      </w:r>
      <w:r w:rsidRPr="00A35653">
        <w:rPr>
          <w:rFonts w:ascii="Times New Roman" w:eastAsia="新細明體" w:hAnsi="Times New Roman" w:cs="Arial" w:hint="eastAsia"/>
          <w:color w:val="000000"/>
        </w:rPr>
        <w:t>做為乳</w:t>
      </w:r>
      <w:r w:rsidRPr="00E054E5">
        <w:rPr>
          <w:rFonts w:ascii="Times New Roman" w:eastAsia="新細明體" w:hAnsi="Arial" w:cs="Arial" w:hint="eastAsia"/>
          <w:color w:val="000000"/>
        </w:rPr>
        <w:t>癌初期的停經婦女預防癌症復發的處方藥，惟被仿單外使用作為口服排卵藥，發現有造成胎兒缺陷之損害，但目前仍有醫師開立此種藥物幫助婦女受孕</w:t>
      </w:r>
      <w:r w:rsidRPr="00E054E5">
        <w:rPr>
          <w:rStyle w:val="ac"/>
          <w:rFonts w:ascii="Times New Roman" w:eastAsia="新細明體" w:hAnsi="Times New Roman" w:cs="細明體"/>
        </w:rPr>
        <w:footnoteReference w:id="16"/>
      </w:r>
      <w:r w:rsidRPr="00E054E5">
        <w:rPr>
          <w:rFonts w:ascii="Times New Roman" w:eastAsia="新細明體" w:hAnsi="Arial" w:cs="Arial" w:hint="eastAsia"/>
          <w:color w:val="000000"/>
        </w:rPr>
        <w:t>。</w:t>
      </w:r>
    </w:p>
    <w:p w:rsidR="00DB326D" w:rsidRDefault="00DB326D" w:rsidP="00DB326D">
      <w:pPr>
        <w:pStyle w:val="HTML"/>
        <w:rPr>
          <w:rFonts w:cs="新細明體"/>
        </w:rPr>
      </w:pPr>
      <w:r w:rsidRPr="00E054E5">
        <w:rPr>
          <w:rFonts w:hAnsi="Times New Roman"/>
        </w:rPr>
        <w:t xml:space="preserve">    </w:t>
      </w:r>
      <w:r w:rsidRPr="00E054E5">
        <w:rPr>
          <w:rFonts w:hint="eastAsia"/>
        </w:rPr>
        <w:t>我國目前醫療實務並無</w:t>
      </w:r>
      <w:r>
        <w:rPr>
          <w:rFonts w:hint="eastAsia"/>
        </w:rPr>
        <w:t>全面性</w:t>
      </w:r>
      <w:r w:rsidRPr="00E054E5">
        <w:rPr>
          <w:rFonts w:hint="eastAsia"/>
        </w:rPr>
        <w:t>仿單外使用實際用藥之調查，依照學者於</w:t>
      </w:r>
      <w:r w:rsidRPr="00E054E5">
        <w:rPr>
          <w:rFonts w:hAnsi="Times New Roman"/>
        </w:rPr>
        <w:t>1999</w:t>
      </w:r>
      <w:r w:rsidRPr="00E054E5">
        <w:rPr>
          <w:rFonts w:hint="eastAsia"/>
        </w:rPr>
        <w:t>年以台北地區五個醫學中心的家庭醫學科、小兒科、婦產科、皮膚科及血液腫瘤科的醫師為研究對象，有五成左右醫師有開立過仿單外使用之處</w:t>
      </w:r>
      <w:r>
        <w:rPr>
          <w:rFonts w:hint="eastAsia"/>
        </w:rPr>
        <w:t>方</w:t>
      </w:r>
      <w:r w:rsidRPr="00E054E5">
        <w:rPr>
          <w:rFonts w:hint="eastAsia"/>
        </w:rPr>
        <w:t>，不到</w:t>
      </w:r>
      <w:r w:rsidRPr="00E054E5">
        <w:rPr>
          <w:rFonts w:hint="eastAsia"/>
        </w:rPr>
        <w:lastRenderedPageBreak/>
        <w:t>兩成醫師間經常出現仿單外使用的情形，而當處方中出現仿單外使用時，只有五成四左右醫師會經常向病患說明</w:t>
      </w:r>
      <w:r w:rsidRPr="00E054E5">
        <w:rPr>
          <w:rStyle w:val="ac"/>
          <w:rFonts w:ascii="Times New Roman" w:eastAsia="新細明體" w:hAnsi="Times New Roman" w:cs="新細明體"/>
        </w:rPr>
        <w:footnoteReference w:id="17"/>
      </w:r>
      <w:r>
        <w:rPr>
          <w:rFonts w:hint="eastAsia"/>
        </w:rPr>
        <w:t>；另外有針對成分為</w:t>
      </w:r>
      <w:proofErr w:type="spellStart"/>
      <w:r w:rsidRPr="00D439F8">
        <w:t>Carbamazepine</w:t>
      </w:r>
      <w:proofErr w:type="spellEnd"/>
      <w:r>
        <w:rPr>
          <w:rFonts w:hint="eastAsia"/>
        </w:rPr>
        <w:t>（卡巴氮平）之用藥以</w:t>
      </w:r>
      <w:r>
        <w:t>2002</w:t>
      </w:r>
      <w:r>
        <w:rPr>
          <w:rFonts w:hint="eastAsia"/>
        </w:rPr>
        <w:t>年健保門診申報檔資料所為之研究，在約</w:t>
      </w:r>
      <w:r>
        <w:t>75</w:t>
      </w:r>
      <w:r>
        <w:rPr>
          <w:rFonts w:hint="eastAsia"/>
        </w:rPr>
        <w:t>萬筆處方共</w:t>
      </w:r>
      <w:r>
        <w:t>15</w:t>
      </w:r>
      <w:r>
        <w:rPr>
          <w:rFonts w:hint="eastAsia"/>
        </w:rPr>
        <w:t>萬人使用中，發現有三分之二是仿單外使用</w:t>
      </w:r>
      <w:r>
        <w:rPr>
          <w:rStyle w:val="ac"/>
          <w:rFonts w:ascii="Times New Roman" w:eastAsia="新細明體" w:cs="細明體"/>
        </w:rPr>
        <w:footnoteReference w:id="18"/>
      </w:r>
      <w:r w:rsidRPr="00E054E5">
        <w:rPr>
          <w:rFonts w:hint="eastAsia"/>
        </w:rPr>
        <w:t>。</w:t>
      </w:r>
      <w:r>
        <w:rPr>
          <w:rFonts w:hint="eastAsia"/>
        </w:rPr>
        <w:t>另從藥害救濟事件觀察，自</w:t>
      </w:r>
      <w:r>
        <w:t>1999</w:t>
      </w:r>
      <w:r>
        <w:rPr>
          <w:rFonts w:hint="eastAsia"/>
        </w:rPr>
        <w:t>年至</w:t>
      </w:r>
      <w:r>
        <w:t>2010</w:t>
      </w:r>
      <w:r>
        <w:rPr>
          <w:rFonts w:hint="eastAsia"/>
        </w:rPr>
        <w:t>年</w:t>
      </w:r>
      <w:r>
        <w:t>7</w:t>
      </w:r>
      <w:r>
        <w:rPr>
          <w:rFonts w:hint="eastAsia"/>
        </w:rPr>
        <w:t>月以來，藥害救濟事件不獲救濟的事由中所謂「</w:t>
      </w:r>
      <w:r w:rsidRPr="006D121E">
        <w:rPr>
          <w:rFonts w:ascii="新細明體" w:cs="標楷體" w:hint="eastAsia"/>
          <w:szCs w:val="36"/>
        </w:rPr>
        <w:t>未依藥物許可證所載之適應症或效能而為之藥物之使用</w:t>
      </w:r>
      <w:r>
        <w:rPr>
          <w:rFonts w:ascii="新細明體" w:cs="標楷體" w:hint="eastAsia"/>
          <w:szCs w:val="36"/>
        </w:rPr>
        <w:t>」</w:t>
      </w:r>
      <w:r>
        <w:rPr>
          <w:rFonts w:hint="eastAsia"/>
        </w:rPr>
        <w:t>共計有</w:t>
      </w:r>
      <w:r>
        <w:t>169</w:t>
      </w:r>
      <w:r>
        <w:rPr>
          <w:rFonts w:hint="eastAsia"/>
        </w:rPr>
        <w:t>例，占駁回總數</w:t>
      </w:r>
      <w:r>
        <w:t>566</w:t>
      </w:r>
      <w:r>
        <w:rPr>
          <w:rFonts w:hint="eastAsia"/>
        </w:rPr>
        <w:t>例中百分之</w:t>
      </w:r>
      <w:r>
        <w:t>30</w:t>
      </w:r>
      <w:r>
        <w:rPr>
          <w:rFonts w:hint="eastAsia"/>
        </w:rPr>
        <w:t>，僅次於用藥與發生藥害疾病無因果關係的百分之</w:t>
      </w:r>
      <w:r>
        <w:t>36</w:t>
      </w:r>
      <w:r>
        <w:rPr>
          <w:rStyle w:val="ac"/>
        </w:rPr>
        <w:footnoteReference w:id="19"/>
      </w:r>
      <w:r w:rsidRPr="00E054E5">
        <w:rPr>
          <w:rFonts w:hint="eastAsia"/>
        </w:rPr>
        <w:t>，足認現行仿單外使用造成損害比例不可謂不高。</w:t>
      </w:r>
    </w:p>
    <w:p w:rsidR="00DB326D" w:rsidRPr="006D34CA"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6D34CA">
        <w:rPr>
          <w:rFonts w:hint="eastAsia"/>
          <w:sz w:val="32"/>
          <w:szCs w:val="32"/>
        </w:rPr>
        <w:t>參、</w:t>
      </w:r>
      <w:r w:rsidRPr="006D34CA">
        <w:rPr>
          <w:sz w:val="32"/>
          <w:szCs w:val="32"/>
        </w:rPr>
        <w:t>OFF</w:t>
      </w:r>
      <w:r w:rsidRPr="006D34CA">
        <w:rPr>
          <w:rFonts w:hint="eastAsia"/>
          <w:sz w:val="32"/>
          <w:szCs w:val="32"/>
        </w:rPr>
        <w:t>─</w:t>
      </w:r>
      <w:r w:rsidRPr="006D34CA">
        <w:rPr>
          <w:sz w:val="32"/>
          <w:szCs w:val="32"/>
        </w:rPr>
        <w:t>LABEL USE</w:t>
      </w:r>
      <w:r>
        <w:rPr>
          <w:rFonts w:hint="eastAsia"/>
          <w:sz w:val="32"/>
          <w:szCs w:val="32"/>
        </w:rPr>
        <w:t>存在之意義與</w:t>
      </w:r>
      <w:r w:rsidRPr="006D34CA">
        <w:rPr>
          <w:rFonts w:hint="eastAsia"/>
          <w:sz w:val="32"/>
          <w:szCs w:val="32"/>
        </w:rPr>
        <w:t>管制之必要性</w:t>
      </w:r>
    </w:p>
    <w:p w:rsidR="00DB326D" w:rsidRDefault="00DB326D" w:rsidP="00DB326D">
      <w:pPr>
        <w:widowControl/>
        <w:spacing w:before="100" w:beforeAutospacing="1" w:after="100" w:afterAutospacing="1"/>
        <w:ind w:firstLineChars="64" w:firstLine="179"/>
        <w:rPr>
          <w:sz w:val="28"/>
          <w:szCs w:val="28"/>
        </w:rPr>
      </w:pPr>
      <w:r w:rsidRPr="008015B4">
        <w:rPr>
          <w:rFonts w:hint="eastAsia"/>
          <w:sz w:val="28"/>
          <w:szCs w:val="28"/>
        </w:rPr>
        <w:t>一</w:t>
      </w:r>
      <w:r>
        <w:rPr>
          <w:rFonts w:hint="eastAsia"/>
          <w:sz w:val="28"/>
          <w:szCs w:val="28"/>
        </w:rPr>
        <w:t>、</w:t>
      </w:r>
      <w:r>
        <w:rPr>
          <w:sz w:val="28"/>
          <w:szCs w:val="28"/>
        </w:rPr>
        <w:t>OFF</w:t>
      </w:r>
      <w:r>
        <w:rPr>
          <w:rFonts w:hint="eastAsia"/>
          <w:sz w:val="28"/>
          <w:szCs w:val="28"/>
        </w:rPr>
        <w:t>─</w:t>
      </w:r>
      <w:r>
        <w:rPr>
          <w:sz w:val="28"/>
          <w:szCs w:val="28"/>
        </w:rPr>
        <w:t>LABEL USE</w:t>
      </w:r>
      <w:r>
        <w:rPr>
          <w:rFonts w:hint="eastAsia"/>
          <w:sz w:val="28"/>
          <w:szCs w:val="28"/>
        </w:rPr>
        <w:t>存在之意義</w:t>
      </w:r>
    </w:p>
    <w:p w:rsidR="00DB326D" w:rsidRPr="00DD5CEF" w:rsidRDefault="00DB326D" w:rsidP="00DB326D">
      <w:pPr>
        <w:widowControl/>
        <w:spacing w:before="100" w:beforeAutospacing="1" w:after="100" w:afterAutospacing="1"/>
        <w:ind w:leftChars="100" w:left="240" w:firstLineChars="164" w:firstLine="394"/>
      </w:pPr>
      <w:r w:rsidRPr="00DD5CEF">
        <w:rPr>
          <w:rFonts w:hint="eastAsia"/>
        </w:rPr>
        <w:t>一種社會</w:t>
      </w:r>
      <w:r>
        <w:rPr>
          <w:rFonts w:hint="eastAsia"/>
        </w:rPr>
        <w:t>活動之興起必有其背景，對於仿單外使用之醫療行為普遍性已如前述，對於此種社會行為之背景若未能掌握，即無法找出介入管制立足點，以下針對與仿單外使用有密切關係的四方為分析，找出各自使此種社會活動存在的基礎：</w:t>
      </w:r>
    </w:p>
    <w:p w:rsidR="00DB326D" w:rsidRDefault="00DB326D" w:rsidP="00DB326D">
      <w:pPr>
        <w:widowControl/>
        <w:spacing w:before="100" w:beforeAutospacing="1" w:after="100" w:afterAutospacing="1"/>
        <w:ind w:leftChars="-59" w:hangingChars="59" w:hanging="142"/>
      </w:pPr>
      <w:r>
        <w:rPr>
          <w:rFonts w:hint="eastAsia"/>
        </w:rPr>
        <w:t>（一）</w:t>
      </w:r>
      <w:r w:rsidRPr="00DD5CEF">
        <w:rPr>
          <w:rFonts w:hint="eastAsia"/>
        </w:rPr>
        <w:t>就藥商而言</w:t>
      </w:r>
    </w:p>
    <w:p w:rsidR="00DB326D" w:rsidRPr="000342CE" w:rsidRDefault="00DB326D" w:rsidP="00DB326D">
      <w:r>
        <w:t xml:space="preserve">    </w:t>
      </w:r>
      <w:r>
        <w:rPr>
          <w:rFonts w:hint="eastAsia"/>
        </w:rPr>
        <w:t>據統計新藥通過</w:t>
      </w:r>
      <w:r>
        <w:t>FDA</w:t>
      </w:r>
      <w:r>
        <w:rPr>
          <w:rFonts w:hint="eastAsia"/>
        </w:rPr>
        <w:t>核准上市的時間平均約</w:t>
      </w:r>
      <w:r>
        <w:t>6</w:t>
      </w:r>
      <w:r>
        <w:rPr>
          <w:rFonts w:hint="eastAsia"/>
        </w:rPr>
        <w:t>年至</w:t>
      </w:r>
      <w:r>
        <w:t>15</w:t>
      </w:r>
      <w:r>
        <w:rPr>
          <w:rFonts w:hint="eastAsia"/>
        </w:rPr>
        <w:t>年，花費約一億美金至</w:t>
      </w:r>
      <w:r>
        <w:t>8.8</w:t>
      </w:r>
      <w:r>
        <w:rPr>
          <w:rFonts w:hint="eastAsia"/>
        </w:rPr>
        <w:t>億美金</w:t>
      </w:r>
      <w:r>
        <w:rPr>
          <w:rStyle w:val="ac"/>
        </w:rPr>
        <w:footnoteReference w:id="20"/>
      </w:r>
      <w:r>
        <w:rPr>
          <w:rFonts w:hint="eastAsia"/>
        </w:rPr>
        <w:t>，就藥商而言，仿單外使用之存在，使得在申請</w:t>
      </w:r>
      <w:r>
        <w:t>FDA</w:t>
      </w:r>
      <w:r>
        <w:rPr>
          <w:rFonts w:hint="eastAsia"/>
        </w:rPr>
        <w:t>新藥上市的適應症可以限縮的較窄範圍，以圖縮短新藥上市時間及研發費用，由於上市後醫師處方藥品方式並未受限於</w:t>
      </w:r>
      <w:r>
        <w:t>FDA</w:t>
      </w:r>
      <w:r>
        <w:rPr>
          <w:rFonts w:hint="eastAsia"/>
        </w:rPr>
        <w:t>核准的適應症範圍，變相讓藥商另謀於藥品上市後從通過</w:t>
      </w:r>
      <w:r>
        <w:t>FDA</w:t>
      </w:r>
      <w:r>
        <w:rPr>
          <w:rFonts w:hint="eastAsia"/>
        </w:rPr>
        <w:t>核准的適應症窄門另開了一扇小門，讓已經耗費時間、金錢而取得核准的藥物獲得重生，無庸再為了新的適應症曠日費時再取得</w:t>
      </w:r>
      <w:r>
        <w:t>FDA</w:t>
      </w:r>
      <w:r>
        <w:rPr>
          <w:rFonts w:hint="eastAsia"/>
        </w:rPr>
        <w:t>核准。其次，對於藥品之銷售若有核准外的疾病可供治療，勢必增加其藥品之價值，進而增加其銷售量，以</w:t>
      </w:r>
      <w:proofErr w:type="spellStart"/>
      <w:r>
        <w:t>Neurontin</w:t>
      </w:r>
      <w:proofErr w:type="spellEnd"/>
      <w:r>
        <w:rPr>
          <w:rFonts w:hint="eastAsia"/>
        </w:rPr>
        <w:t>（中文藥名鎮頑癲）為例，</w:t>
      </w:r>
      <w:r>
        <w:t>1994</w:t>
      </w:r>
      <w:r>
        <w:rPr>
          <w:rFonts w:hint="eastAsia"/>
        </w:rPr>
        <w:t>年</w:t>
      </w:r>
      <w:r>
        <w:t>FDA</w:t>
      </w:r>
      <w:r>
        <w:rPr>
          <w:rFonts w:hint="eastAsia"/>
        </w:rPr>
        <w:t>原本核准治療癲癇藥物，</w:t>
      </w:r>
      <w:r>
        <w:t>1995</w:t>
      </w:r>
      <w:r>
        <w:rPr>
          <w:rFonts w:hint="eastAsia"/>
        </w:rPr>
        <w:t>年仿單外使用處分比例占</w:t>
      </w:r>
      <w:r>
        <w:t>40</w:t>
      </w:r>
      <w:r>
        <w:rPr>
          <w:rFonts w:ascii="新細明體" w:hAnsi="新細明體" w:hint="eastAsia"/>
        </w:rPr>
        <w:t>％，</w:t>
      </w:r>
      <w:r>
        <w:rPr>
          <w:rFonts w:hint="eastAsia"/>
        </w:rPr>
        <w:t>至</w:t>
      </w:r>
      <w:r>
        <w:t>2003</w:t>
      </w:r>
      <w:r>
        <w:rPr>
          <w:rFonts w:hint="eastAsia"/>
        </w:rPr>
        <w:t>年銷售</w:t>
      </w:r>
      <w:r>
        <w:t>27</w:t>
      </w:r>
      <w:r>
        <w:rPr>
          <w:rFonts w:hint="eastAsia"/>
        </w:rPr>
        <w:t>億美金中已有</w:t>
      </w:r>
      <w:r>
        <w:t>80</w:t>
      </w:r>
      <w:r>
        <w:rPr>
          <w:rFonts w:ascii="新細明體" w:hAnsi="新細明體" w:hint="eastAsia"/>
        </w:rPr>
        <w:t>％</w:t>
      </w:r>
      <w:r>
        <w:rPr>
          <w:rFonts w:hint="eastAsia"/>
        </w:rPr>
        <w:t>用於治療躁鬱症、創傷後症候群、妄想症、斷肢症候群、臉潮紅、偏頭痛、緊張性頭痛等，甚至</w:t>
      </w:r>
      <w:r w:rsidRPr="003D6AEA">
        <w:rPr>
          <w:rFonts w:hAnsi="標楷體" w:cs="標楷體" w:hint="eastAsia"/>
          <w:szCs w:val="28"/>
        </w:rPr>
        <w:t>在</w:t>
      </w:r>
      <w:r w:rsidRPr="003D6AEA">
        <w:rPr>
          <w:rFonts w:cs="標楷體"/>
          <w:szCs w:val="28"/>
        </w:rPr>
        <w:t>2004</w:t>
      </w:r>
      <w:r w:rsidRPr="003D6AEA">
        <w:rPr>
          <w:rFonts w:hAnsi="標楷體" w:cs="標楷體" w:hint="eastAsia"/>
          <w:szCs w:val="28"/>
        </w:rPr>
        <w:t>年</w:t>
      </w:r>
      <w:r>
        <w:rPr>
          <w:rFonts w:hAnsi="標楷體" w:cs="標楷體" w:hint="eastAsia"/>
          <w:szCs w:val="28"/>
        </w:rPr>
        <w:t>輝瑞藥廠對於違法銷售認罪協商和同意支付</w:t>
      </w:r>
      <w:r>
        <w:rPr>
          <w:rFonts w:hAnsi="標楷體" w:cs="標楷體"/>
          <w:szCs w:val="28"/>
        </w:rPr>
        <w:t>4</w:t>
      </w:r>
      <w:r>
        <w:rPr>
          <w:rFonts w:hAnsi="標楷體" w:cs="標楷體" w:hint="eastAsia"/>
          <w:szCs w:val="28"/>
        </w:rPr>
        <w:t>億</w:t>
      </w:r>
      <w:r>
        <w:rPr>
          <w:rFonts w:hAnsi="標楷體" w:cs="標楷體"/>
          <w:szCs w:val="28"/>
        </w:rPr>
        <w:t>3</w:t>
      </w:r>
      <w:r>
        <w:rPr>
          <w:rFonts w:hAnsi="標楷體" w:cs="標楷體" w:hint="eastAsia"/>
          <w:szCs w:val="28"/>
        </w:rPr>
        <w:t>千萬美元處理民事與刑事控訴後</w:t>
      </w:r>
      <w:r w:rsidRPr="003D6AEA">
        <w:rPr>
          <w:rFonts w:hAnsi="標楷體" w:cs="標楷體" w:hint="eastAsia"/>
          <w:szCs w:val="28"/>
        </w:rPr>
        <w:t>，</w:t>
      </w:r>
      <w:r>
        <w:rPr>
          <w:rFonts w:hAnsi="標楷體" w:cs="標楷體" w:hint="eastAsia"/>
          <w:szCs w:val="28"/>
        </w:rPr>
        <w:t>鎮</w:t>
      </w:r>
      <w:r w:rsidRPr="003D6AEA">
        <w:rPr>
          <w:rFonts w:hAnsi="標楷體" w:cs="標楷體" w:hint="eastAsia"/>
          <w:szCs w:val="28"/>
        </w:rPr>
        <w:t>頑癲銷售上昇，</w:t>
      </w:r>
      <w:r>
        <w:rPr>
          <w:rFonts w:hAnsi="標楷體" w:cs="標楷體" w:hint="eastAsia"/>
          <w:szCs w:val="28"/>
        </w:rPr>
        <w:t>仿單</w:t>
      </w:r>
      <w:r w:rsidRPr="003D6AEA">
        <w:rPr>
          <w:rFonts w:hAnsi="標楷體" w:cs="標楷體" w:hint="eastAsia"/>
          <w:szCs w:val="28"/>
        </w:rPr>
        <w:t>外使用銷售</w:t>
      </w:r>
      <w:r w:rsidRPr="003D6AEA">
        <w:rPr>
          <w:rFonts w:hAnsi="標楷體" w:cs="標楷體" w:hint="eastAsia"/>
          <w:szCs w:val="28"/>
        </w:rPr>
        <w:lastRenderedPageBreak/>
        <w:t>也佔總銷售大約</w:t>
      </w:r>
      <w:r w:rsidRPr="003D6AEA">
        <w:rPr>
          <w:rFonts w:cs="標楷體"/>
          <w:szCs w:val="28"/>
        </w:rPr>
        <w:t>90</w:t>
      </w:r>
      <w:r>
        <w:rPr>
          <w:rFonts w:ascii="新細明體" w:hAnsi="新細明體" w:cs="標楷體" w:hint="eastAsia"/>
          <w:szCs w:val="28"/>
        </w:rPr>
        <w:t>％</w:t>
      </w:r>
      <w:r>
        <w:rPr>
          <w:rFonts w:hint="eastAsia"/>
        </w:rPr>
        <w:t>。再者，藥商為了對於變更原核准適應症之仿單標示，向</w:t>
      </w:r>
      <w:r>
        <w:t>FDA</w:t>
      </w:r>
      <w:r>
        <w:rPr>
          <w:rFonts w:hint="eastAsia"/>
        </w:rPr>
        <w:t>提出新藥上市申請增補書（</w:t>
      </w:r>
      <w:r>
        <w:rPr>
          <w:rFonts w:ascii="Arial" w:hAnsi="Arial" w:cs="Arial"/>
          <w:color w:val="000000"/>
        </w:rPr>
        <w:t xml:space="preserve">supplemental New </w:t>
      </w:r>
      <w:proofErr w:type="spellStart"/>
      <w:r>
        <w:rPr>
          <w:rFonts w:ascii="Arial" w:hAnsi="Arial" w:cs="Arial"/>
          <w:color w:val="000000"/>
        </w:rPr>
        <w:t>DrugApplication</w:t>
      </w:r>
      <w:proofErr w:type="spellEnd"/>
      <w:r>
        <w:rPr>
          <w:rFonts w:ascii="Arial" w:hAnsi="Arial" w:cs="Arial" w:hint="eastAsia"/>
          <w:color w:val="000000"/>
        </w:rPr>
        <w:t>，簡稱</w:t>
      </w:r>
      <w:proofErr w:type="spellStart"/>
      <w:r>
        <w:rPr>
          <w:rFonts w:ascii="Arial" w:hAnsi="Arial" w:cs="Arial"/>
          <w:color w:val="000000"/>
        </w:rPr>
        <w:t>sNDA</w:t>
      </w:r>
      <w:proofErr w:type="spellEnd"/>
      <w:r>
        <w:rPr>
          <w:rFonts w:ascii="Arial" w:hAnsi="Arial" w:cs="Arial" w:hint="eastAsia"/>
          <w:color w:val="000000"/>
        </w:rPr>
        <w:t>），</w:t>
      </w:r>
      <w:r w:rsidRPr="000342CE">
        <w:rPr>
          <w:rFonts w:hAnsi="標楷體" w:cs="標楷體" w:hint="eastAsia"/>
          <w:szCs w:val="28"/>
        </w:rPr>
        <w:t>例</w:t>
      </w:r>
      <w:r w:rsidRPr="000342CE">
        <w:rPr>
          <w:rFonts w:cs="標楷體" w:hint="eastAsia"/>
          <w:szCs w:val="28"/>
        </w:rPr>
        <w:t>如：輝瑞藥廠的暢銷藥</w:t>
      </w:r>
      <w:r w:rsidRPr="000342CE">
        <w:rPr>
          <w:rFonts w:cs="標楷體"/>
          <w:szCs w:val="28"/>
        </w:rPr>
        <w:t>Lipitor</w:t>
      </w:r>
      <w:r w:rsidRPr="000342CE">
        <w:rPr>
          <w:rFonts w:cs="標楷體" w:hint="eastAsia"/>
          <w:szCs w:val="28"/>
        </w:rPr>
        <w:t>（中文藥名立普妥）在</w:t>
      </w:r>
      <w:r w:rsidRPr="000342CE">
        <w:rPr>
          <w:rFonts w:cs="標楷體"/>
          <w:szCs w:val="28"/>
        </w:rPr>
        <w:t>1997</w:t>
      </w:r>
      <w:r w:rsidRPr="000342CE">
        <w:rPr>
          <w:rFonts w:cs="標楷體" w:hint="eastAsia"/>
          <w:szCs w:val="28"/>
        </w:rPr>
        <w:t>年得到</w:t>
      </w:r>
      <w:r w:rsidRPr="000342CE">
        <w:rPr>
          <w:rFonts w:cs="標楷體"/>
          <w:szCs w:val="28"/>
        </w:rPr>
        <w:t>FDA</w:t>
      </w:r>
      <w:r w:rsidRPr="000342CE">
        <w:rPr>
          <w:rFonts w:cs="標楷體" w:hint="eastAsia"/>
          <w:szCs w:val="28"/>
        </w:rPr>
        <w:t>核准用於降低膽固醇，在</w:t>
      </w:r>
      <w:r w:rsidRPr="000342CE">
        <w:rPr>
          <w:rFonts w:cs="標楷體"/>
          <w:szCs w:val="28"/>
        </w:rPr>
        <w:t>2005</w:t>
      </w:r>
      <w:r w:rsidRPr="000342CE">
        <w:rPr>
          <w:rFonts w:cs="標楷體" w:hint="eastAsia"/>
          <w:szCs w:val="28"/>
        </w:rPr>
        <w:t>年</w:t>
      </w:r>
      <w:r w:rsidRPr="000342CE">
        <w:rPr>
          <w:rFonts w:cs="標楷體"/>
          <w:szCs w:val="28"/>
        </w:rPr>
        <w:t>FDA</w:t>
      </w:r>
      <w:r w:rsidRPr="000342CE">
        <w:rPr>
          <w:rFonts w:cs="標楷體" w:hint="eastAsia"/>
          <w:szCs w:val="28"/>
        </w:rPr>
        <w:t>基於大量臨床試驗結果，核准擴大用途於減少危急中患者中風和心臟症的風險。但這過程</w:t>
      </w:r>
      <w:r w:rsidRPr="000342CE">
        <w:rPr>
          <w:rFonts w:hAnsi="Arial" w:cs="Arial" w:hint="eastAsia"/>
          <w:color w:val="000000"/>
        </w:rPr>
        <w:t>仍需要金錢、時間等資源去實施臨床試驗以取得支持新適應症之相關安全性與有效性資料，成本考量抑制了藥商的申請動機，此外，仿單外使用的發現可能發生在原廠藥（</w:t>
      </w:r>
      <w:r w:rsidRPr="000342CE">
        <w:rPr>
          <w:rFonts w:cs="Arial"/>
          <w:color w:val="000000"/>
        </w:rPr>
        <w:t>brand-name drugs</w:t>
      </w:r>
      <w:r w:rsidRPr="000342CE">
        <w:rPr>
          <w:rFonts w:hAnsi="Arial" w:cs="Arial" w:hint="eastAsia"/>
          <w:color w:val="000000"/>
        </w:rPr>
        <w:t>）專利期限的末期，學名藥（</w:t>
      </w:r>
      <w:r w:rsidRPr="000342CE">
        <w:rPr>
          <w:rFonts w:cs="Arial"/>
          <w:color w:val="000000"/>
        </w:rPr>
        <w:t>Generic drugs</w:t>
      </w:r>
      <w:r w:rsidRPr="000342CE">
        <w:rPr>
          <w:rFonts w:hAnsi="Arial" w:cs="Arial" w:hint="eastAsia"/>
          <w:color w:val="000000"/>
        </w:rPr>
        <w:t>）進入市場的競爭，更壓縮藥商對於該</w:t>
      </w:r>
      <w:r w:rsidRPr="000342CE">
        <w:rPr>
          <w:rFonts w:hint="eastAsia"/>
        </w:rPr>
        <w:t>藥再</w:t>
      </w:r>
      <w:r>
        <w:rPr>
          <w:rFonts w:hint="eastAsia"/>
        </w:rPr>
        <w:t>花</w:t>
      </w:r>
      <w:r w:rsidRPr="000342CE">
        <w:rPr>
          <w:rFonts w:hAnsi="Arial" w:cs="Arial" w:hint="eastAsia"/>
          <w:color w:val="000000"/>
        </w:rPr>
        <w:t>費</w:t>
      </w:r>
      <w:r w:rsidRPr="000342CE">
        <w:rPr>
          <w:rFonts w:hint="eastAsia"/>
        </w:rPr>
        <w:t>研發</w:t>
      </w:r>
      <w:r>
        <w:rPr>
          <w:rFonts w:hint="eastAsia"/>
        </w:rPr>
        <w:t>經</w:t>
      </w:r>
      <w:r w:rsidRPr="000342CE">
        <w:rPr>
          <w:rFonts w:hint="eastAsia"/>
        </w:rPr>
        <w:t>費之動機，</w:t>
      </w:r>
      <w:r>
        <w:rPr>
          <w:rFonts w:hint="eastAsia"/>
        </w:rPr>
        <w:t>此外，原廠藥既已存在廣泛的仿單外使用，若實施昂貴臨床試驗結果並無得到支持該用途的證據，對於藥商亦有相當之風險</w:t>
      </w:r>
      <w:r>
        <w:rPr>
          <w:rStyle w:val="ac"/>
        </w:rPr>
        <w:footnoteReference w:id="21"/>
      </w:r>
      <w:r>
        <w:rPr>
          <w:rFonts w:hint="eastAsia"/>
        </w:rPr>
        <w:t>。</w:t>
      </w:r>
      <w:r w:rsidRPr="000342CE">
        <w:rPr>
          <w:rFonts w:cs="標楷體" w:hint="eastAsia"/>
          <w:szCs w:val="28"/>
        </w:rPr>
        <w:t>因此，對於原廠藥之公司即無經濟上</w:t>
      </w:r>
      <w:r>
        <w:rPr>
          <w:rFonts w:cs="標楷體" w:hint="eastAsia"/>
          <w:szCs w:val="28"/>
        </w:rPr>
        <w:t>理由</w:t>
      </w:r>
      <w:r w:rsidRPr="000342CE">
        <w:rPr>
          <w:rFonts w:cs="標楷體" w:hint="eastAsia"/>
          <w:szCs w:val="28"/>
        </w:rPr>
        <w:t>去提出</w:t>
      </w:r>
      <w:proofErr w:type="spellStart"/>
      <w:r w:rsidRPr="000342CE">
        <w:rPr>
          <w:rFonts w:cs="標楷體"/>
          <w:szCs w:val="28"/>
        </w:rPr>
        <w:t>sNDA</w:t>
      </w:r>
      <w:proofErr w:type="spellEnd"/>
      <w:r>
        <w:rPr>
          <w:rFonts w:cs="標楷體" w:hint="eastAsia"/>
          <w:szCs w:val="28"/>
        </w:rPr>
        <w:t>，</w:t>
      </w:r>
      <w:r w:rsidRPr="000342CE">
        <w:rPr>
          <w:rFonts w:cs="標楷體" w:hint="eastAsia"/>
          <w:szCs w:val="28"/>
        </w:rPr>
        <w:t>並且對於仿單外使用尋求</w:t>
      </w:r>
      <w:r w:rsidRPr="000342CE">
        <w:rPr>
          <w:rFonts w:cs="標楷體"/>
          <w:szCs w:val="28"/>
        </w:rPr>
        <w:t>FDA</w:t>
      </w:r>
      <w:r w:rsidRPr="000342CE">
        <w:rPr>
          <w:rFonts w:cs="標楷體" w:hint="eastAsia"/>
          <w:szCs w:val="28"/>
        </w:rPr>
        <w:t>核准。</w:t>
      </w:r>
    </w:p>
    <w:p w:rsidR="00DB326D" w:rsidRDefault="00DB326D" w:rsidP="00DB326D">
      <w:pPr>
        <w:widowControl/>
        <w:spacing w:before="100" w:beforeAutospacing="1" w:after="100" w:afterAutospacing="1"/>
        <w:ind w:leftChars="-1" w:left="-2"/>
      </w:pPr>
      <w:r>
        <w:rPr>
          <w:rFonts w:hint="eastAsia"/>
        </w:rPr>
        <w:t>（二）就醫師而言</w:t>
      </w:r>
    </w:p>
    <w:p w:rsidR="00DB326D" w:rsidRPr="0050150F" w:rsidRDefault="00DB326D" w:rsidP="00DB326D">
      <w:pPr>
        <w:outlineLvl w:val="3"/>
        <w:rPr>
          <w:rFonts w:eastAsia="MS Mincho"/>
        </w:rPr>
      </w:pPr>
      <w:r>
        <w:t xml:space="preserve">    </w:t>
      </w:r>
      <w:r>
        <w:rPr>
          <w:rFonts w:hint="eastAsia"/>
        </w:rPr>
        <w:t>醫師本於其醫學專業知識及經驗，對於患者最佳利益而決定醫療處置，自然期待對於醫療行為中最重要之用藥希望能有最大自由運用之空間，而仿單外使用只要基於醫師自己之經驗、醫學文獻閱讀及繼續教育所得之新知而對於既存核准藥物而為不同適應症之運用，自有其需求，況且醫師與藥物主管機關關注的面相不同，醫師著重個別的患者，只要有助於個別患者的健康回復，且該藥為合法上市，即為醫師用藥之選項，至於該用途是否為衛生主管機關所核准，乃係針對大眾健康的思考，並非醫師所應考量，此亦為</w:t>
      </w:r>
      <w:r>
        <w:t>FDA</w:t>
      </w:r>
      <w:r>
        <w:rPr>
          <w:rFonts w:hint="eastAsia"/>
        </w:rPr>
        <w:t>公開宣示對於醫師用藥行為原則上不限任何監督的機制，其意義亦在此</w:t>
      </w:r>
      <w:r>
        <w:rPr>
          <w:rStyle w:val="ac"/>
        </w:rPr>
        <w:footnoteReference w:id="22"/>
      </w:r>
      <w:r>
        <w:rPr>
          <w:rFonts w:hint="eastAsia"/>
        </w:rPr>
        <w:t>。</w:t>
      </w:r>
      <w:r w:rsidRPr="00FD3858">
        <w:rPr>
          <w:rFonts w:hAnsi="標楷體" w:cs="標楷體" w:hint="eastAsia"/>
          <w:szCs w:val="28"/>
        </w:rPr>
        <w:t>醫師</w:t>
      </w:r>
      <w:r>
        <w:rPr>
          <w:rFonts w:hAnsi="標楷體" w:cs="標楷體" w:hint="eastAsia"/>
          <w:szCs w:val="28"/>
        </w:rPr>
        <w:t>基於用藥上之</w:t>
      </w:r>
      <w:r w:rsidRPr="00FD3858">
        <w:rPr>
          <w:rFonts w:hAnsi="標楷體" w:cs="標楷體" w:hint="eastAsia"/>
          <w:szCs w:val="28"/>
        </w:rPr>
        <w:t>自由</w:t>
      </w:r>
      <w:r>
        <w:rPr>
          <w:rFonts w:hAnsi="標楷體" w:cs="標楷體" w:hint="eastAsia"/>
          <w:szCs w:val="28"/>
        </w:rPr>
        <w:t>選擇，</w:t>
      </w:r>
      <w:r w:rsidRPr="00FD3858">
        <w:rPr>
          <w:rFonts w:hAnsi="標楷體" w:cs="標楷體" w:hint="eastAsia"/>
          <w:szCs w:val="28"/>
        </w:rPr>
        <w:t>以</w:t>
      </w:r>
      <w:r>
        <w:rPr>
          <w:rFonts w:hAnsi="標楷體" w:cs="標楷體" w:hint="eastAsia"/>
          <w:szCs w:val="28"/>
        </w:rPr>
        <w:t>仿單</w:t>
      </w:r>
      <w:r w:rsidRPr="00FD3858">
        <w:rPr>
          <w:rFonts w:hAnsi="標楷體" w:cs="標楷體" w:hint="eastAsia"/>
          <w:szCs w:val="28"/>
        </w:rPr>
        <w:t>外使用方式處方藥物具有數項好處。第一，</w:t>
      </w:r>
      <w:r>
        <w:rPr>
          <w:rFonts w:hAnsi="標楷體" w:cs="標楷體" w:hint="eastAsia"/>
          <w:szCs w:val="28"/>
        </w:rPr>
        <w:t>產生</w:t>
      </w:r>
      <w:r w:rsidRPr="00FD3858">
        <w:rPr>
          <w:rFonts w:hAnsi="標楷體" w:cs="標楷體" w:hint="eastAsia"/>
          <w:szCs w:val="28"/>
        </w:rPr>
        <w:t>醫療上的創新</w:t>
      </w:r>
      <w:r>
        <w:rPr>
          <w:rFonts w:hAnsi="標楷體" w:cs="標楷體" w:hint="eastAsia"/>
          <w:szCs w:val="28"/>
        </w:rPr>
        <w:t>，例如</w:t>
      </w:r>
      <w:r w:rsidRPr="009A76C8">
        <w:rPr>
          <w:rFonts w:cs="標楷體"/>
          <w:kern w:val="0"/>
          <w:szCs w:val="27"/>
        </w:rPr>
        <w:t xml:space="preserve">beta blocker </w:t>
      </w:r>
      <w:r>
        <w:rPr>
          <w:rFonts w:cs="標楷體" w:hint="eastAsia"/>
          <w:kern w:val="0"/>
          <w:szCs w:val="27"/>
        </w:rPr>
        <w:t>（</w:t>
      </w:r>
      <w:r w:rsidRPr="009A76C8">
        <w:rPr>
          <w:rFonts w:hAnsi="標楷體" w:cs="標楷體" w:hint="eastAsia"/>
          <w:kern w:val="0"/>
          <w:szCs w:val="27"/>
        </w:rPr>
        <w:t>乙種腎上腺阻斷劑）</w:t>
      </w:r>
      <w:r w:rsidRPr="009A76C8">
        <w:rPr>
          <w:rFonts w:hAnsi="標楷體" w:cs="標楷體" w:hint="eastAsia"/>
          <w:szCs w:val="28"/>
        </w:rPr>
        <w:t>原本用來治療高血壓症</w:t>
      </w:r>
      <w:r>
        <w:rPr>
          <w:rFonts w:hAnsi="標楷體" w:cs="標楷體" w:hint="eastAsia"/>
          <w:szCs w:val="28"/>
        </w:rPr>
        <w:t>，後來用於</w:t>
      </w:r>
      <w:r w:rsidRPr="009A76C8">
        <w:rPr>
          <w:rFonts w:hAnsi="標楷體" w:cs="標楷體" w:hint="eastAsia"/>
          <w:kern w:val="0"/>
          <w:szCs w:val="27"/>
        </w:rPr>
        <w:t>心臟病後可作預防性藥物</w:t>
      </w:r>
      <w:r>
        <w:rPr>
          <w:rFonts w:hAnsi="標楷體" w:cs="標楷體" w:hint="eastAsia"/>
          <w:kern w:val="0"/>
          <w:szCs w:val="27"/>
        </w:rPr>
        <w:t>；又例如</w:t>
      </w:r>
      <w:r w:rsidRPr="009A76C8">
        <w:rPr>
          <w:rFonts w:hAnsi="標楷體" w:cs="標楷體" w:hint="eastAsia"/>
          <w:szCs w:val="28"/>
        </w:rPr>
        <w:t>原本治療癌症及皰疹病毒</w:t>
      </w:r>
      <w:r>
        <w:rPr>
          <w:rFonts w:hAnsi="標楷體" w:cs="標楷體" w:hint="eastAsia"/>
          <w:szCs w:val="28"/>
        </w:rPr>
        <w:t>之</w:t>
      </w:r>
      <w:r w:rsidRPr="009A76C8">
        <w:rPr>
          <w:rFonts w:cs="標楷體"/>
          <w:szCs w:val="28"/>
        </w:rPr>
        <w:t>AZT</w:t>
      </w:r>
      <w:r>
        <w:rPr>
          <w:rFonts w:cs="標楷體" w:hint="eastAsia"/>
          <w:szCs w:val="28"/>
        </w:rPr>
        <w:t>，後來</w:t>
      </w:r>
      <w:r w:rsidRPr="009A76C8">
        <w:rPr>
          <w:rFonts w:hAnsi="標楷體" w:cs="標楷體" w:hint="eastAsia"/>
          <w:szCs w:val="28"/>
        </w:rPr>
        <w:t>用來治療愛滋</w:t>
      </w:r>
      <w:r>
        <w:rPr>
          <w:rFonts w:hAnsi="標楷體" w:cs="標楷體" w:hint="eastAsia"/>
          <w:szCs w:val="28"/>
        </w:rPr>
        <w:t>病</w:t>
      </w:r>
      <w:r w:rsidRPr="00FD3858">
        <w:rPr>
          <w:rFonts w:hAnsi="標楷體" w:cs="標楷體" w:hint="eastAsia"/>
          <w:szCs w:val="28"/>
        </w:rPr>
        <w:t>。第二，雖然欠缺</w:t>
      </w:r>
      <w:r w:rsidRPr="00FD3858">
        <w:rPr>
          <w:rFonts w:cs="標楷體"/>
          <w:szCs w:val="28"/>
        </w:rPr>
        <w:t>FDA</w:t>
      </w:r>
      <w:r w:rsidRPr="00FD3858">
        <w:rPr>
          <w:rFonts w:hAnsi="標楷體" w:cs="標楷體" w:hint="eastAsia"/>
          <w:szCs w:val="28"/>
        </w:rPr>
        <w:t>核准該用途</w:t>
      </w:r>
      <w:r>
        <w:rPr>
          <w:rFonts w:hAnsi="標楷體" w:cs="標楷體" w:hint="eastAsia"/>
          <w:szCs w:val="28"/>
        </w:rPr>
        <w:t>，但</w:t>
      </w:r>
      <w:r w:rsidRPr="00FD3858">
        <w:rPr>
          <w:rFonts w:hAnsi="標楷體" w:cs="標楷體" w:hint="eastAsia"/>
          <w:szCs w:val="28"/>
        </w:rPr>
        <w:t>基於臨床上興起的證據</w:t>
      </w:r>
      <w:r>
        <w:rPr>
          <w:rFonts w:hAnsi="標楷體" w:cs="標楷體" w:hint="eastAsia"/>
          <w:szCs w:val="28"/>
        </w:rPr>
        <w:t>，</w:t>
      </w:r>
      <w:r w:rsidRPr="00FD3858">
        <w:rPr>
          <w:rFonts w:hAnsi="標楷體" w:cs="標楷體" w:hint="eastAsia"/>
          <w:szCs w:val="28"/>
        </w:rPr>
        <w:t>病患早點使用潛在有價值的藥</w:t>
      </w:r>
      <w:r>
        <w:rPr>
          <w:rFonts w:hAnsi="標楷體" w:cs="標楷體" w:hint="eastAsia"/>
          <w:szCs w:val="28"/>
        </w:rPr>
        <w:t>物</w:t>
      </w:r>
      <w:r w:rsidRPr="00FD3858">
        <w:rPr>
          <w:rFonts w:hAnsi="標楷體" w:cs="標楷體" w:hint="eastAsia"/>
          <w:szCs w:val="28"/>
        </w:rPr>
        <w:t>，</w:t>
      </w:r>
      <w:r>
        <w:rPr>
          <w:rFonts w:hAnsi="標楷體" w:cs="標楷體" w:hint="eastAsia"/>
          <w:szCs w:val="28"/>
        </w:rPr>
        <w:t>避免患者因等待</w:t>
      </w:r>
      <w:r>
        <w:rPr>
          <w:rFonts w:hAnsi="標楷體" w:cs="標楷體"/>
          <w:szCs w:val="28"/>
        </w:rPr>
        <w:t>FDA</w:t>
      </w:r>
      <w:r>
        <w:rPr>
          <w:rFonts w:hAnsi="標楷體" w:cs="標楷體" w:hint="eastAsia"/>
          <w:szCs w:val="28"/>
        </w:rPr>
        <w:t>核准而喪失早日用藥回復健康的權利；第三，仿單外使用</w:t>
      </w:r>
      <w:r w:rsidRPr="00FD3858">
        <w:rPr>
          <w:rFonts w:hAnsi="標楷體" w:cs="標楷體" w:hint="eastAsia"/>
          <w:szCs w:val="28"/>
        </w:rPr>
        <w:t>提供</w:t>
      </w:r>
      <w:r>
        <w:rPr>
          <w:rFonts w:hAnsi="標楷體" w:cs="標楷體" w:hint="eastAsia"/>
          <w:szCs w:val="28"/>
        </w:rPr>
        <w:t>並無</w:t>
      </w:r>
      <w:r w:rsidRPr="00FD3858">
        <w:rPr>
          <w:rFonts w:cs="標楷體"/>
          <w:szCs w:val="28"/>
        </w:rPr>
        <w:t>FDA</w:t>
      </w:r>
      <w:r w:rsidRPr="00FD3858">
        <w:rPr>
          <w:rFonts w:hAnsi="標楷體" w:cs="標楷體" w:hint="eastAsia"/>
          <w:szCs w:val="28"/>
        </w:rPr>
        <w:t>核准治療方法</w:t>
      </w:r>
      <w:r>
        <w:rPr>
          <w:rFonts w:hAnsi="標楷體" w:cs="標楷體" w:hint="eastAsia"/>
          <w:szCs w:val="28"/>
        </w:rPr>
        <w:t>之</w:t>
      </w:r>
      <w:r w:rsidRPr="00FD3858">
        <w:rPr>
          <w:rFonts w:hAnsi="標楷體" w:cs="標楷體" w:hint="eastAsia"/>
          <w:szCs w:val="28"/>
        </w:rPr>
        <w:t>罕見疾病</w:t>
      </w:r>
      <w:r>
        <w:rPr>
          <w:rFonts w:hAnsi="標楷體" w:cs="標楷體" w:hint="eastAsia"/>
          <w:szCs w:val="28"/>
        </w:rPr>
        <w:t>上</w:t>
      </w:r>
      <w:r w:rsidRPr="00FD3858">
        <w:rPr>
          <w:rFonts w:hAnsi="標楷體" w:cs="標楷體" w:hint="eastAsia"/>
          <w:szCs w:val="28"/>
        </w:rPr>
        <w:t>治療</w:t>
      </w:r>
      <w:r>
        <w:rPr>
          <w:rFonts w:hAnsi="標楷體" w:cs="標楷體" w:hint="eastAsia"/>
          <w:szCs w:val="28"/>
        </w:rPr>
        <w:t>之</w:t>
      </w:r>
      <w:r w:rsidRPr="00FD3858">
        <w:rPr>
          <w:rFonts w:hAnsi="標楷體" w:cs="標楷體" w:hint="eastAsia"/>
          <w:szCs w:val="28"/>
        </w:rPr>
        <w:t>選擇</w:t>
      </w:r>
      <w:r>
        <w:rPr>
          <w:rStyle w:val="ac"/>
          <w:rFonts w:hAnsi="標楷體"/>
          <w:szCs w:val="28"/>
        </w:rPr>
        <w:footnoteReference w:id="23"/>
      </w:r>
      <w:r w:rsidRPr="00FD3858">
        <w:rPr>
          <w:rFonts w:hAnsi="標楷體" w:cs="標楷體" w:hint="eastAsia"/>
          <w:szCs w:val="28"/>
        </w:rPr>
        <w:t>。</w:t>
      </w:r>
      <w:r>
        <w:rPr>
          <w:rFonts w:hint="eastAsia"/>
        </w:rPr>
        <w:t>事實上對於醫師高度專業之醫療行為所為之限制，不見得對於患者之安全或醫學之進步有助益，所謂防衛性（</w:t>
      </w:r>
      <w:r>
        <w:rPr>
          <w:rFonts w:ascii="Arial" w:hAnsi="Arial" w:cs="Arial"/>
          <w:color w:val="000000"/>
        </w:rPr>
        <w:t>defensive</w:t>
      </w:r>
      <w:r>
        <w:rPr>
          <w:rFonts w:ascii="Arial" w:hAnsi="Arial" w:cs="Arial" w:hint="eastAsia"/>
          <w:color w:val="000000"/>
        </w:rPr>
        <w:t>）</w:t>
      </w:r>
      <w:r>
        <w:rPr>
          <w:rFonts w:hint="eastAsia"/>
        </w:rPr>
        <w:t>醫療往往均係對醫療行為限制所產生之反動。</w:t>
      </w:r>
    </w:p>
    <w:p w:rsidR="00DB326D" w:rsidRDefault="00DB326D" w:rsidP="00DB326D">
      <w:pPr>
        <w:widowControl/>
        <w:spacing w:before="100" w:beforeAutospacing="1" w:after="100" w:afterAutospacing="1"/>
        <w:ind w:leftChars="-177" w:hangingChars="177" w:hanging="425"/>
      </w:pPr>
      <w:r>
        <w:t xml:space="preserve">   </w:t>
      </w:r>
      <w:r>
        <w:rPr>
          <w:rFonts w:hint="eastAsia"/>
        </w:rPr>
        <w:t>（三）患者而言</w:t>
      </w:r>
    </w:p>
    <w:p w:rsidR="00DB326D" w:rsidRDefault="00DB326D" w:rsidP="00DB326D">
      <w:pPr>
        <w:widowControl/>
        <w:spacing w:before="100" w:beforeAutospacing="1" w:after="100" w:afterAutospacing="1"/>
        <w:ind w:leftChars="-150" w:hangingChars="150" w:hanging="360"/>
      </w:pPr>
      <w:r>
        <w:t xml:space="preserve">       </w:t>
      </w:r>
      <w:r>
        <w:rPr>
          <w:rFonts w:hint="eastAsia"/>
        </w:rPr>
        <w:t>新藥的核准曠時費時，對於身染疾病的患者自無耐心或者身體也無准許漫長的等待，因此無論透過廣告或其他患者小道消息，對於既存藥物有新效力，除了</w:t>
      </w:r>
      <w:r>
        <w:rPr>
          <w:rFonts w:hint="eastAsia"/>
        </w:rPr>
        <w:lastRenderedPageBreak/>
        <w:t>基於既已經上市之藥物安全性顧慮即已降低，另對於藥物之有效性亦抱持高度期待，自然對於藥物仿單外使用大表歡迎，特別是罕見疾病患者或嚴重末期病患，對於生存時間的壓迫感，實在無法等待藥政主管機關漫長核准程序所耗費時間，往往抱著孤注一擲，只要有治療可能性，並不在乎該藥之用途是否有核准或與仿單記載相符，甚至對於發展中的藥物，末期病人基於自主權亦主張有使用的權利</w:t>
      </w:r>
      <w:r>
        <w:rPr>
          <w:rStyle w:val="ac"/>
        </w:rPr>
        <w:footnoteReference w:id="24"/>
      </w:r>
      <w:r>
        <w:rPr>
          <w:rFonts w:hint="eastAsia"/>
        </w:rPr>
        <w:t>；只是對於治療效果期待之落差，往往也是醫療訴訟的根源。</w:t>
      </w:r>
      <w:r>
        <w:t xml:space="preserve">  </w:t>
      </w:r>
    </w:p>
    <w:p w:rsidR="00DB326D" w:rsidRDefault="00DB326D" w:rsidP="00DB326D">
      <w:pPr>
        <w:widowControl/>
        <w:spacing w:before="100" w:beforeAutospacing="1" w:after="100" w:afterAutospacing="1"/>
        <w:ind w:firstLineChars="64" w:firstLine="179"/>
        <w:rPr>
          <w:sz w:val="28"/>
          <w:szCs w:val="28"/>
        </w:rPr>
      </w:pPr>
      <w:r>
        <w:rPr>
          <w:rFonts w:hint="eastAsia"/>
          <w:sz w:val="28"/>
          <w:szCs w:val="28"/>
        </w:rPr>
        <w:t>二、</w:t>
      </w:r>
      <w:r>
        <w:rPr>
          <w:sz w:val="28"/>
          <w:szCs w:val="28"/>
        </w:rPr>
        <w:t>OFF</w:t>
      </w:r>
      <w:r>
        <w:rPr>
          <w:rFonts w:hint="eastAsia"/>
          <w:sz w:val="28"/>
          <w:szCs w:val="28"/>
        </w:rPr>
        <w:t>─</w:t>
      </w:r>
      <w:r>
        <w:rPr>
          <w:sz w:val="28"/>
          <w:szCs w:val="28"/>
        </w:rPr>
        <w:t>LABEL USE</w:t>
      </w:r>
      <w:r>
        <w:rPr>
          <w:rFonts w:hint="eastAsia"/>
          <w:sz w:val="28"/>
          <w:szCs w:val="28"/>
        </w:rPr>
        <w:t>之管制必要</w:t>
      </w:r>
    </w:p>
    <w:p w:rsidR="00DB326D" w:rsidRDefault="00DB326D" w:rsidP="00DB326D">
      <w:pPr>
        <w:widowControl/>
        <w:spacing w:before="100" w:beforeAutospacing="1" w:after="100" w:afterAutospacing="1"/>
        <w:ind w:leftChars="-100" w:hangingChars="100" w:hanging="240"/>
      </w:pPr>
      <w:r>
        <w:t xml:space="preserve">      </w:t>
      </w:r>
      <w:r>
        <w:rPr>
          <w:rFonts w:hint="eastAsia"/>
        </w:rPr>
        <w:t>據美國</w:t>
      </w:r>
      <w:r>
        <w:t>2006</w:t>
      </w:r>
      <w:r>
        <w:rPr>
          <w:rFonts w:hint="eastAsia"/>
        </w:rPr>
        <w:t>年醫學學會一項公布研究發現仿單外使用在醫療實務十分普遍但通常欠缺科學根據，有</w:t>
      </w:r>
      <w:r>
        <w:t>73</w:t>
      </w:r>
      <w:r>
        <w:rPr>
          <w:rFonts w:ascii="新細明體" w:hAnsi="新細明體" w:hint="eastAsia"/>
        </w:rPr>
        <w:t>％</w:t>
      </w:r>
      <w:r>
        <w:rPr>
          <w:rFonts w:hint="eastAsia"/>
        </w:rPr>
        <w:t>仿單外使用欠缺證據證明臨床上有效性，而且少於</w:t>
      </w:r>
      <w:r>
        <w:t>3</w:t>
      </w:r>
      <w:r>
        <w:rPr>
          <w:rFonts w:hint="eastAsia"/>
        </w:rPr>
        <w:t>分之</w:t>
      </w:r>
      <w:r>
        <w:t>1</w:t>
      </w:r>
      <w:r>
        <w:rPr>
          <w:rFonts w:hint="eastAsia"/>
        </w:rPr>
        <w:t>有強力科學證據支持</w:t>
      </w:r>
      <w:r>
        <w:rPr>
          <w:rStyle w:val="ac"/>
        </w:rPr>
        <w:footnoteReference w:id="25"/>
      </w:r>
      <w:r>
        <w:rPr>
          <w:rFonts w:hint="eastAsia"/>
        </w:rPr>
        <w:t>；在我國雖無大規模之實證研究，但以</w:t>
      </w:r>
      <w:r>
        <w:t>2002</w:t>
      </w:r>
      <w:r>
        <w:rPr>
          <w:rFonts w:hint="eastAsia"/>
        </w:rPr>
        <w:t>年健保門診申報檔資料，針對成分為</w:t>
      </w:r>
      <w:proofErr w:type="spellStart"/>
      <w:r w:rsidRPr="00D439F8">
        <w:t>Carbamazepine</w:t>
      </w:r>
      <w:proofErr w:type="spellEnd"/>
      <w:r>
        <w:rPr>
          <w:rFonts w:hint="eastAsia"/>
        </w:rPr>
        <w:t>（卡巴氮平）之用藥所為之研究，發現仿單外使用中約有</w:t>
      </w:r>
      <w:r>
        <w:t>50</w:t>
      </w:r>
      <w:r>
        <w:rPr>
          <w:rFonts w:ascii="新細明體" w:hAnsi="新細明體" w:hint="eastAsia"/>
        </w:rPr>
        <w:t>％並無任何實證研究的支持</w:t>
      </w:r>
      <w:r>
        <w:rPr>
          <w:rStyle w:val="ac"/>
          <w:rFonts w:ascii="新細明體"/>
        </w:rPr>
        <w:footnoteReference w:id="26"/>
      </w:r>
      <w:r>
        <w:rPr>
          <w:rFonts w:hint="eastAsia"/>
        </w:rPr>
        <w:t>，由上開資料顯示仿單外使用已造成危及患者安全性、患者經濟上之浪費、國家醫療保險支付之詐欺。對於藥商因為商業上之競爭而為仿單外使用不當行銷，提供醫師不實之仿單外使用資訊，或給予醫師仿單外使用不當之影響，例如回扣、禮物等等，使得醫師仿單外使用之用藥行為並非本其專業知識所為之判斷，而係基於藥商「不當之污染」而為用藥，亦即醫師可能面臨的利益衝突自有介入管制之正當性。另外，對於醫師仿單外使用之用藥裁量本應尊重，但醫師違反應有專業注意義務所為之仿單外使用及仿單外使用之危險性應如何在醫師與患者合理分配，亦應有法令介入管制而非屬法外之地，否則非但無法達到仿單外使用原先促進醫藥進步之可能性，反而成為藥商利益所在及醫師卸責之工具。</w:t>
      </w:r>
    </w:p>
    <w:p w:rsidR="00DB326D" w:rsidRDefault="00DB326D" w:rsidP="00DB326D">
      <w:pPr>
        <w:widowControl/>
        <w:spacing w:before="100" w:beforeAutospacing="1" w:after="100" w:afterAutospacing="1"/>
        <w:ind w:left="320" w:hangingChars="100" w:hanging="320"/>
        <w:rPr>
          <w:sz w:val="32"/>
          <w:szCs w:val="32"/>
        </w:rPr>
      </w:pPr>
      <w:r w:rsidRPr="00377B99">
        <w:rPr>
          <w:rFonts w:hint="eastAsia"/>
          <w:sz w:val="32"/>
          <w:szCs w:val="32"/>
        </w:rPr>
        <w:t>肆、</w:t>
      </w:r>
      <w:r w:rsidRPr="00377B99">
        <w:rPr>
          <w:sz w:val="32"/>
          <w:szCs w:val="32"/>
        </w:rPr>
        <w:t>OFF</w:t>
      </w:r>
      <w:r w:rsidRPr="00377B99">
        <w:rPr>
          <w:rFonts w:hint="eastAsia"/>
          <w:sz w:val="32"/>
          <w:szCs w:val="32"/>
        </w:rPr>
        <w:t>─</w:t>
      </w:r>
      <w:r w:rsidRPr="00377B99">
        <w:rPr>
          <w:sz w:val="32"/>
          <w:szCs w:val="32"/>
        </w:rPr>
        <w:t>LABEL USE</w:t>
      </w:r>
      <w:r>
        <w:rPr>
          <w:rFonts w:hint="eastAsia"/>
          <w:sz w:val="32"/>
          <w:szCs w:val="32"/>
        </w:rPr>
        <w:t>美國管制之介紹</w:t>
      </w:r>
    </w:p>
    <w:p w:rsidR="00DB326D" w:rsidRPr="00AB2F78" w:rsidRDefault="00DB326D" w:rsidP="00DB326D">
      <w:pPr>
        <w:widowControl/>
        <w:spacing w:before="100" w:beforeAutospacing="1" w:after="100" w:afterAutospacing="1"/>
        <w:ind w:leftChars="-100" w:hangingChars="100" w:hanging="240"/>
      </w:pPr>
      <w:r>
        <w:t xml:space="preserve">     </w:t>
      </w:r>
      <w:r>
        <w:rPr>
          <w:rFonts w:hint="eastAsia"/>
        </w:rPr>
        <w:t xml:space="preserve"> </w:t>
      </w:r>
      <w:r>
        <w:rPr>
          <w:rFonts w:hint="eastAsia"/>
        </w:rPr>
        <w:t>基於以上所述仿單外使用之意義與管制之必要性，美國法律</w:t>
      </w:r>
      <w:r w:rsidRPr="00AB2F78">
        <w:rPr>
          <w:rFonts w:hint="eastAsia"/>
        </w:rPr>
        <w:t>針對</w:t>
      </w:r>
      <w:r>
        <w:rPr>
          <w:rFonts w:hint="eastAsia"/>
        </w:rPr>
        <w:t>藥品的仿單外使用介入管制對象分成藥商與醫師，並著重不同之行為，分述如下</w:t>
      </w:r>
    </w:p>
    <w:p w:rsidR="00DB326D" w:rsidRPr="0001250F" w:rsidRDefault="00DB326D" w:rsidP="00DB326D">
      <w:pPr>
        <w:widowControl/>
        <w:spacing w:before="100" w:beforeAutospacing="1" w:after="100" w:afterAutospacing="1"/>
        <w:ind w:left="280" w:hangingChars="100" w:hanging="280"/>
        <w:rPr>
          <w:sz w:val="28"/>
          <w:szCs w:val="28"/>
        </w:rPr>
      </w:pPr>
      <w:r w:rsidRPr="0001250F">
        <w:rPr>
          <w:rFonts w:hint="eastAsia"/>
          <w:sz w:val="28"/>
          <w:szCs w:val="28"/>
        </w:rPr>
        <w:t>一、藥商</w:t>
      </w:r>
    </w:p>
    <w:p w:rsidR="00DB326D" w:rsidRDefault="00DB326D" w:rsidP="00DB326D">
      <w:pPr>
        <w:widowControl/>
        <w:spacing w:before="100" w:beforeAutospacing="1" w:after="100" w:afterAutospacing="1"/>
        <w:ind w:left="240" w:hangingChars="100" w:hanging="240"/>
      </w:pPr>
      <w:r>
        <w:rPr>
          <w:rFonts w:hint="eastAsia"/>
        </w:rPr>
        <w:t>（一）</w:t>
      </w:r>
      <w:r w:rsidRPr="0001250F">
        <w:rPr>
          <w:rFonts w:hint="eastAsia"/>
        </w:rPr>
        <w:t>仿單外使用</w:t>
      </w:r>
      <w:r>
        <w:rPr>
          <w:rFonts w:hint="eastAsia"/>
        </w:rPr>
        <w:t>資訊交流之管制</w:t>
      </w:r>
    </w:p>
    <w:p w:rsidR="00DB326D" w:rsidRDefault="00DB326D" w:rsidP="00DB326D">
      <w:pPr>
        <w:rPr>
          <w:rFonts w:hAnsi="標楷體" w:cs="標楷體"/>
          <w:szCs w:val="28"/>
        </w:rPr>
      </w:pPr>
      <w:r>
        <w:lastRenderedPageBreak/>
        <w:t xml:space="preserve">    1996</w:t>
      </w:r>
      <w:r>
        <w:rPr>
          <w:rFonts w:hint="eastAsia"/>
        </w:rPr>
        <w:t>年至</w:t>
      </w:r>
      <w:r>
        <w:t>2001</w:t>
      </w:r>
      <w:r>
        <w:rPr>
          <w:rFonts w:hint="eastAsia"/>
        </w:rPr>
        <w:t>年藥商銷售業務代表增加</w:t>
      </w:r>
      <w:r>
        <w:t>2</w:t>
      </w:r>
      <w:r>
        <w:rPr>
          <w:rFonts w:hint="eastAsia"/>
        </w:rPr>
        <w:t>倍人數，且亦增加將近</w:t>
      </w:r>
      <w:r>
        <w:t>2</w:t>
      </w:r>
      <w:r>
        <w:rPr>
          <w:rFonts w:hint="eastAsia"/>
        </w:rPr>
        <w:t>倍費用在促銷藥品之上，大部份藥商銷售花費二倍於研究新藥上，平均一位醫師一個月要見</w:t>
      </w:r>
      <w:r>
        <w:t>10</w:t>
      </w:r>
      <w:r>
        <w:rPr>
          <w:rFonts w:hint="eastAsia"/>
        </w:rPr>
        <w:t>位藥商業務代表，與一位銷售人員見面少於一分鐘，因此藥商想儘辦法要吸引醫師的注意，包括各式各樣之促銷。藥商通常被禁止促銷仿單外使用，當然有些仿單外使用是有科學支持且對於患者提供巨大利益，但對藥商來說仿單外使用之促銷是基於利潤最大化而被激發，例如藥商在專利有效期之前在最大利益化之壓力下，或尋求擴展市場下可能尋求銷售藥品新的使用，而這樣促銷行為易使大眾暴露於藥品副作用風險之下。在</w:t>
      </w:r>
      <w:r>
        <w:t>1997</w:t>
      </w:r>
      <w:r>
        <w:rPr>
          <w:rFonts w:hint="eastAsia"/>
        </w:rPr>
        <w:t>年前，</w:t>
      </w:r>
      <w:r>
        <w:t>FDCA</w:t>
      </w:r>
      <w:r>
        <w:rPr>
          <w:rFonts w:hint="eastAsia"/>
        </w:rPr>
        <w:t>（食品藥物化妝品法</w:t>
      </w:r>
      <w:r>
        <w:t xml:space="preserve"> </w:t>
      </w:r>
      <w:r>
        <w:rPr>
          <w:rFonts w:hint="eastAsia"/>
        </w:rPr>
        <w:t>）基於二個理由禁止藥商傳播仿單外使用資訊給醫師：</w:t>
      </w:r>
      <w:r w:rsidRPr="009F0C61">
        <w:rPr>
          <w:rFonts w:eastAsia="標楷體"/>
        </w:rPr>
        <w:t>1</w:t>
      </w:r>
      <w:r w:rsidRPr="009F0C61">
        <w:rPr>
          <w:rFonts w:hAnsi="新細明體"/>
        </w:rPr>
        <w:t>、</w:t>
      </w:r>
      <w:r>
        <w:rPr>
          <w:rFonts w:hint="eastAsia"/>
        </w:rPr>
        <w:t>擔心藥商所提供是不完全的資訊，藥商只提供支持該症狀使用之文獻，卻完全忽視也有重要證據顯示反對此種用途，醫師未被完全告知下做出開立處方選擇。</w:t>
      </w:r>
      <w:r>
        <w:t>2</w:t>
      </w:r>
      <w:r>
        <w:rPr>
          <w:rFonts w:hint="eastAsia"/>
        </w:rPr>
        <w:t>、</w:t>
      </w:r>
      <w:r>
        <w:t>FDA</w:t>
      </w:r>
      <w:r>
        <w:rPr>
          <w:rFonts w:hint="eastAsia"/>
        </w:rPr>
        <w:t>認為這樣訊息的傳播會鼓勵藥商置正常新藥上市增補（</w:t>
      </w:r>
      <w:proofErr w:type="spellStart"/>
      <w:r>
        <w:t>sNDA</w:t>
      </w:r>
      <w:proofErr w:type="spellEnd"/>
      <w:r>
        <w:rPr>
          <w:rFonts w:hint="eastAsia"/>
        </w:rPr>
        <w:t>）核准程序於不顧。因此，國會雖於</w:t>
      </w:r>
      <w:r>
        <w:t>1997</w:t>
      </w:r>
      <w:r>
        <w:rPr>
          <w:rFonts w:cs="新細明體" w:hint="eastAsia"/>
        </w:rPr>
        <w:t>年通過</w:t>
      </w:r>
      <w:r>
        <w:rPr>
          <w:rFonts w:ascii="Arial" w:hAnsi="Arial" w:cs="Arial" w:hint="eastAsia"/>
          <w:color w:val="000000"/>
        </w:rPr>
        <w:t>美國食品暨藥物管理局現代化法案（</w:t>
      </w:r>
      <w:r>
        <w:t>Food and Drug Administration Modernization Act of 1997</w:t>
      </w:r>
      <w:r>
        <w:rPr>
          <w:rFonts w:hint="eastAsia"/>
        </w:rPr>
        <w:t>，</w:t>
      </w:r>
      <w:r>
        <w:t>FDAMA</w:t>
      </w:r>
      <w:r>
        <w:rPr>
          <w:rFonts w:cs="新細明體" w:hint="eastAsia"/>
        </w:rPr>
        <w:t>），終結近</w:t>
      </w:r>
      <w:r>
        <w:t>32</w:t>
      </w:r>
      <w:r>
        <w:rPr>
          <w:rFonts w:cs="新細明體" w:hint="eastAsia"/>
        </w:rPr>
        <w:t>年</w:t>
      </w:r>
      <w:r>
        <w:t>FDA</w:t>
      </w:r>
      <w:r>
        <w:rPr>
          <w:rFonts w:cs="新細明體" w:hint="eastAsia"/>
        </w:rPr>
        <w:t>完全禁止由藥商散布仿單外使用的資訊，解除禁止藥商直接對於消費者的廣告，導致現今藥商花費在廣廣費用每年達</w:t>
      </w:r>
      <w:r>
        <w:t>40</w:t>
      </w:r>
      <w:r>
        <w:rPr>
          <w:rFonts w:cs="新細明體" w:hint="eastAsia"/>
        </w:rPr>
        <w:t>億</w:t>
      </w:r>
      <w:r>
        <w:t>1</w:t>
      </w:r>
      <w:r>
        <w:rPr>
          <w:rFonts w:cs="新細明體" w:hint="eastAsia"/>
        </w:rPr>
        <w:t>千萬元</w:t>
      </w:r>
      <w:r>
        <w:rPr>
          <w:rStyle w:val="ac"/>
          <w:rFonts w:cs="新細明體"/>
        </w:rPr>
        <w:footnoteReference w:id="27"/>
      </w:r>
      <w:r>
        <w:rPr>
          <w:rFonts w:cs="新細明體" w:hint="eastAsia"/>
        </w:rPr>
        <w:t>。但</w:t>
      </w:r>
      <w:r w:rsidRPr="006E4C57">
        <w:rPr>
          <w:rFonts w:cs="標楷體"/>
        </w:rPr>
        <w:t>FDA</w:t>
      </w:r>
      <w:r w:rsidRPr="006E4C57">
        <w:rPr>
          <w:rFonts w:hAnsi="標楷體" w:cs="標楷體" w:hint="eastAsia"/>
        </w:rPr>
        <w:t>對於</w:t>
      </w:r>
      <w:r>
        <w:rPr>
          <w:rFonts w:hAnsi="標楷體" w:cs="標楷體" w:hint="eastAsia"/>
        </w:rPr>
        <w:t>藥品仿單外</w:t>
      </w:r>
      <w:r w:rsidRPr="006E4C57">
        <w:rPr>
          <w:rFonts w:hAnsi="標楷體" w:cs="標楷體" w:hint="eastAsia"/>
        </w:rPr>
        <w:t>使用</w:t>
      </w:r>
      <w:r>
        <w:rPr>
          <w:rFonts w:hAnsi="標楷體" w:cs="標楷體" w:hint="eastAsia"/>
        </w:rPr>
        <w:t>資訊傳</w:t>
      </w:r>
      <w:r w:rsidRPr="006E4C57">
        <w:rPr>
          <w:rFonts w:hAnsi="標楷體" w:cs="標楷體" w:hint="eastAsia"/>
        </w:rPr>
        <w:t>播</w:t>
      </w:r>
      <w:r>
        <w:rPr>
          <w:rFonts w:hAnsi="標楷體" w:cs="標楷體" w:hint="eastAsia"/>
        </w:rPr>
        <w:t>之限制仍擴大解釋</w:t>
      </w:r>
      <w:r w:rsidRPr="006E4C57">
        <w:rPr>
          <w:rFonts w:cs="標楷體"/>
        </w:rPr>
        <w:t>FDAMA</w:t>
      </w:r>
      <w:r>
        <w:rPr>
          <w:rFonts w:cs="標楷體" w:hint="eastAsia"/>
        </w:rPr>
        <w:t>中</w:t>
      </w:r>
      <w:r w:rsidRPr="006E4C57">
        <w:rPr>
          <w:rFonts w:cs="標楷體"/>
        </w:rPr>
        <w:t xml:space="preserve"> 401</w:t>
      </w:r>
      <w:r w:rsidRPr="006E4C57">
        <w:rPr>
          <w:rFonts w:hAnsi="標楷體" w:cs="標楷體" w:hint="eastAsia"/>
        </w:rPr>
        <w:t>條款</w:t>
      </w:r>
      <w:r>
        <w:rPr>
          <w:rFonts w:hAnsi="標楷體" w:cs="標楷體" w:hint="eastAsia"/>
        </w:rPr>
        <w:t>之規定</w:t>
      </w:r>
      <w:r w:rsidRPr="006E4C57">
        <w:rPr>
          <w:rFonts w:hAnsi="標楷體" w:cs="標楷體" w:hint="eastAsia"/>
        </w:rPr>
        <w:t>。</w:t>
      </w:r>
      <w:r>
        <w:rPr>
          <w:rFonts w:hAnsi="標楷體" w:cs="標楷體"/>
        </w:rPr>
        <w:t>FDA</w:t>
      </w:r>
      <w:r>
        <w:rPr>
          <w:rFonts w:hAnsi="標楷體" w:cs="標楷體" w:hint="eastAsia"/>
        </w:rPr>
        <w:t>首先認為標示不實（</w:t>
      </w:r>
      <w:r>
        <w:rPr>
          <w:rFonts w:hAnsi="標楷體" w:cs="標楷體"/>
        </w:rPr>
        <w:t>misbranded</w:t>
      </w:r>
      <w:r>
        <w:rPr>
          <w:rFonts w:hAnsi="標楷體" w:cs="標楷體" w:hint="eastAsia"/>
        </w:rPr>
        <w:t>）的藥品進行州際貿易是一種犯罪行為，再將所謂標示不實定義為</w:t>
      </w:r>
      <w:r w:rsidRPr="00560FC8">
        <w:rPr>
          <w:rFonts w:hAnsi="標楷體" w:cs="標楷體" w:hint="eastAsia"/>
          <w:szCs w:val="28"/>
        </w:rPr>
        <w:t>在仿單上為做出錯誤或誤導的聲明或在仿單上疏於對於使用</w:t>
      </w:r>
      <w:r>
        <w:rPr>
          <w:rFonts w:hAnsi="標楷體" w:cs="標楷體" w:hint="eastAsia"/>
          <w:szCs w:val="28"/>
        </w:rPr>
        <w:t>為</w:t>
      </w:r>
      <w:r w:rsidRPr="00560FC8">
        <w:rPr>
          <w:rFonts w:hAnsi="標楷體" w:cs="標楷體" w:hint="eastAsia"/>
          <w:szCs w:val="28"/>
        </w:rPr>
        <w:t>充分的指示。如果藥廠內含明確地錯誤資訊</w:t>
      </w:r>
      <w:r>
        <w:rPr>
          <w:rFonts w:hAnsi="標楷體" w:cs="標楷體" w:hint="eastAsia"/>
          <w:szCs w:val="28"/>
        </w:rPr>
        <w:t>記載</w:t>
      </w:r>
      <w:r w:rsidRPr="00560FC8">
        <w:rPr>
          <w:rFonts w:hAnsi="標楷體" w:cs="標楷體" w:hint="eastAsia"/>
          <w:szCs w:val="28"/>
        </w:rPr>
        <w:t>在仿單中，它當然是口語中所謂標示不實，但</w:t>
      </w:r>
      <w:r w:rsidRPr="00560FC8">
        <w:rPr>
          <w:rFonts w:cs="標楷體"/>
          <w:szCs w:val="28"/>
        </w:rPr>
        <w:t>FDA</w:t>
      </w:r>
      <w:r w:rsidRPr="00560FC8">
        <w:rPr>
          <w:rFonts w:hAnsi="標楷體" w:cs="標楷體" w:hint="eastAsia"/>
          <w:szCs w:val="28"/>
        </w:rPr>
        <w:t>藉由引進預定用途（</w:t>
      </w:r>
      <w:r w:rsidRPr="00560FC8">
        <w:rPr>
          <w:rFonts w:cs="標楷體"/>
          <w:szCs w:val="28"/>
        </w:rPr>
        <w:t>intended use</w:t>
      </w:r>
      <w:r w:rsidRPr="00560FC8">
        <w:rPr>
          <w:rFonts w:hAnsi="標楷體" w:cs="標楷體" w:hint="eastAsia"/>
          <w:szCs w:val="28"/>
        </w:rPr>
        <w:t>）的概念，擴張標示不實的規定</w:t>
      </w:r>
      <w:r>
        <w:rPr>
          <w:rFonts w:hAnsi="標楷體" w:cs="標楷體" w:hint="eastAsia"/>
          <w:szCs w:val="28"/>
        </w:rPr>
        <w:t>，也就是所謂預定用途除了記載於</w:t>
      </w:r>
      <w:r w:rsidRPr="00560FC8">
        <w:rPr>
          <w:rFonts w:hAnsi="標楷體" w:cs="標楷體" w:hint="eastAsia"/>
          <w:szCs w:val="28"/>
        </w:rPr>
        <w:t>仿單中</w:t>
      </w:r>
      <w:r>
        <w:rPr>
          <w:rFonts w:hAnsi="標楷體" w:cs="標楷體" w:hint="eastAsia"/>
          <w:szCs w:val="28"/>
        </w:rPr>
        <w:t>外，包括藥商於行銷</w:t>
      </w:r>
      <w:r w:rsidRPr="00560FC8">
        <w:rPr>
          <w:rFonts w:hAnsi="標楷體" w:cs="標楷體" w:hint="eastAsia"/>
          <w:szCs w:val="28"/>
        </w:rPr>
        <w:t>廣告中或明文或口頭上由藥廠</w:t>
      </w:r>
      <w:r>
        <w:rPr>
          <w:rFonts w:hAnsi="標楷體" w:cs="標楷體" w:hint="eastAsia"/>
          <w:szCs w:val="28"/>
        </w:rPr>
        <w:t>銷售</w:t>
      </w:r>
      <w:r w:rsidRPr="00560FC8">
        <w:rPr>
          <w:rFonts w:hAnsi="標楷體" w:cs="標楷體" w:hint="eastAsia"/>
          <w:szCs w:val="28"/>
        </w:rPr>
        <w:t>代表所為</w:t>
      </w:r>
      <w:r>
        <w:rPr>
          <w:rFonts w:hAnsi="標楷體" w:cs="標楷體" w:hint="eastAsia"/>
          <w:szCs w:val="28"/>
        </w:rPr>
        <w:t>陳述</w:t>
      </w:r>
      <w:r w:rsidRPr="00560FC8">
        <w:rPr>
          <w:rFonts w:hAnsi="標楷體" w:cs="標楷體" w:hint="eastAsia"/>
          <w:szCs w:val="28"/>
        </w:rPr>
        <w:t>之用途，</w:t>
      </w:r>
      <w:r>
        <w:rPr>
          <w:rFonts w:hAnsi="標楷體" w:cs="標楷體" w:hint="eastAsia"/>
          <w:szCs w:val="28"/>
        </w:rPr>
        <w:t>若藥商宣稱之用途並非</w:t>
      </w:r>
      <w:r>
        <w:rPr>
          <w:rFonts w:hAnsi="標楷體" w:cs="標楷體"/>
          <w:szCs w:val="28"/>
        </w:rPr>
        <w:t>FDA</w:t>
      </w:r>
      <w:r>
        <w:rPr>
          <w:rFonts w:hAnsi="標楷體" w:cs="標楷體" w:hint="eastAsia"/>
          <w:szCs w:val="28"/>
        </w:rPr>
        <w:t>所核准</w:t>
      </w:r>
      <w:r w:rsidRPr="00560FC8">
        <w:rPr>
          <w:rFonts w:hAnsi="標楷體" w:cs="標楷體" w:hint="eastAsia"/>
          <w:szCs w:val="28"/>
        </w:rPr>
        <w:t>，</w:t>
      </w:r>
      <w:r>
        <w:rPr>
          <w:rFonts w:hAnsi="標楷體" w:cs="標楷體" w:hint="eastAsia"/>
          <w:szCs w:val="28"/>
        </w:rPr>
        <w:t>則</w:t>
      </w:r>
      <w:r w:rsidRPr="00560FC8">
        <w:rPr>
          <w:rFonts w:hAnsi="標楷體" w:cs="標楷體" w:hint="eastAsia"/>
          <w:szCs w:val="28"/>
        </w:rPr>
        <w:t>該藥可能被認為是標示不實。如果藥商</w:t>
      </w:r>
      <w:r>
        <w:rPr>
          <w:rFonts w:hAnsi="標楷體" w:cs="標楷體" w:hint="eastAsia"/>
          <w:szCs w:val="28"/>
        </w:rPr>
        <w:t>提供仿單外使用之</w:t>
      </w:r>
      <w:r w:rsidRPr="00560FC8">
        <w:rPr>
          <w:rFonts w:hAnsi="標楷體" w:cs="標楷體" w:hint="eastAsia"/>
          <w:szCs w:val="28"/>
        </w:rPr>
        <w:t>資訊給醫師或其他醫事服務提供者</w:t>
      </w:r>
      <w:r>
        <w:rPr>
          <w:rFonts w:hAnsi="標楷體" w:cs="標楷體" w:hint="eastAsia"/>
          <w:szCs w:val="28"/>
        </w:rPr>
        <w:t>，</w:t>
      </w:r>
      <w:r w:rsidRPr="00560FC8">
        <w:rPr>
          <w:rFonts w:hAnsi="標楷體" w:cs="標楷體" w:hint="eastAsia"/>
          <w:szCs w:val="28"/>
        </w:rPr>
        <w:t>並不符合已存在核准藥品仿單標示</w:t>
      </w:r>
      <w:r>
        <w:rPr>
          <w:rFonts w:hAnsi="標楷體" w:cs="標楷體" w:hint="eastAsia"/>
          <w:szCs w:val="28"/>
        </w:rPr>
        <w:t>之用途</w:t>
      </w:r>
      <w:r w:rsidRPr="00560FC8">
        <w:rPr>
          <w:rFonts w:hAnsi="標楷體" w:cs="標楷體" w:hint="eastAsia"/>
          <w:szCs w:val="28"/>
        </w:rPr>
        <w:t>，</w:t>
      </w:r>
      <w:r>
        <w:rPr>
          <w:rFonts w:hAnsi="標楷體" w:cs="標楷體" w:hint="eastAsia"/>
          <w:szCs w:val="28"/>
        </w:rPr>
        <w:t>該仿單外使用</w:t>
      </w:r>
      <w:r w:rsidRPr="00560FC8">
        <w:rPr>
          <w:rFonts w:hAnsi="標楷體" w:cs="標楷體" w:hint="eastAsia"/>
          <w:szCs w:val="28"/>
        </w:rPr>
        <w:t>已構成未取得</w:t>
      </w:r>
      <w:r w:rsidRPr="00560FC8">
        <w:rPr>
          <w:rFonts w:cs="標楷體"/>
          <w:szCs w:val="28"/>
        </w:rPr>
        <w:t>FDA</w:t>
      </w:r>
      <w:r w:rsidRPr="00560FC8">
        <w:rPr>
          <w:rFonts w:hAnsi="標楷體" w:cs="標楷體" w:hint="eastAsia"/>
          <w:szCs w:val="28"/>
        </w:rPr>
        <w:t>核准一個新的預定用途，</w:t>
      </w:r>
      <w:r>
        <w:rPr>
          <w:rFonts w:hAnsi="標楷體" w:cs="標楷體" w:hint="eastAsia"/>
          <w:szCs w:val="28"/>
        </w:rPr>
        <w:t>依上開解釋，即</w:t>
      </w:r>
      <w:r w:rsidRPr="00560FC8">
        <w:rPr>
          <w:rFonts w:hAnsi="標楷體" w:cs="標楷體" w:hint="eastAsia"/>
          <w:szCs w:val="28"/>
        </w:rPr>
        <w:t>不能提供給醫師或消費者針對這個未經核准適應症使用該藥品所必需的指示，</w:t>
      </w:r>
      <w:r>
        <w:rPr>
          <w:rFonts w:hAnsi="標楷體" w:cs="標楷體" w:hint="eastAsia"/>
          <w:szCs w:val="28"/>
        </w:rPr>
        <w:t>否則</w:t>
      </w:r>
      <w:r w:rsidRPr="006E4C57">
        <w:rPr>
          <w:rFonts w:hAnsi="標楷體" w:cs="標楷體" w:hint="eastAsia"/>
        </w:rPr>
        <w:t>散播</w:t>
      </w:r>
      <w:r>
        <w:rPr>
          <w:rFonts w:hAnsi="標楷體" w:cs="標楷體" w:hint="eastAsia"/>
        </w:rPr>
        <w:t>仿單</w:t>
      </w:r>
      <w:r w:rsidRPr="006E4C57">
        <w:rPr>
          <w:rFonts w:hAnsi="標楷體" w:cs="標楷體" w:hint="eastAsia"/>
        </w:rPr>
        <w:t>外使用的</w:t>
      </w:r>
      <w:r>
        <w:rPr>
          <w:rFonts w:hAnsi="標楷體" w:cs="標楷體" w:hint="eastAsia"/>
        </w:rPr>
        <w:t>資訊可能被認為是非</w:t>
      </w:r>
      <w:r w:rsidRPr="006E4C57">
        <w:rPr>
          <w:rFonts w:hAnsi="標楷體" w:cs="標楷體" w:hint="eastAsia"/>
        </w:rPr>
        <w:t>法行銷</w:t>
      </w:r>
      <w:r>
        <w:rPr>
          <w:rFonts w:hAnsi="標楷體" w:cs="標楷體" w:hint="eastAsia"/>
        </w:rPr>
        <w:t>不實標示藥品</w:t>
      </w:r>
      <w:r w:rsidRPr="006E4C57">
        <w:rPr>
          <w:rFonts w:hAnsi="標楷體" w:cs="標楷體" w:hint="eastAsia"/>
        </w:rPr>
        <w:t>之證據</w:t>
      </w:r>
      <w:r>
        <w:rPr>
          <w:rFonts w:hAnsi="標楷體" w:cs="標楷體" w:hint="eastAsia"/>
        </w:rPr>
        <w:t>，而違反上開</w:t>
      </w:r>
      <w:r>
        <w:rPr>
          <w:rFonts w:hAnsi="標楷體" w:cs="標楷體"/>
        </w:rPr>
        <w:t>401</w:t>
      </w:r>
      <w:r>
        <w:rPr>
          <w:rFonts w:hAnsi="標楷體" w:cs="標楷體" w:hint="eastAsia"/>
        </w:rPr>
        <w:t>條款，依法處罰</w:t>
      </w:r>
      <w:r w:rsidRPr="00473194">
        <w:rPr>
          <w:rFonts w:hAnsi="標楷體" w:cs="標楷體" w:hint="eastAsia"/>
          <w:szCs w:val="28"/>
        </w:rPr>
        <w:t>可能包括產品的行政沒收、針對違法行銷禁制令、民事罰款、</w:t>
      </w:r>
      <w:r>
        <w:rPr>
          <w:rFonts w:hAnsi="標楷體" w:cs="標楷體" w:hint="eastAsia"/>
          <w:szCs w:val="28"/>
        </w:rPr>
        <w:t>所得</w:t>
      </w:r>
      <w:r w:rsidRPr="00473194">
        <w:rPr>
          <w:rFonts w:hAnsi="標楷體" w:cs="標楷體" w:hint="eastAsia"/>
          <w:szCs w:val="28"/>
        </w:rPr>
        <w:t>利益繳回，甚至撤</w:t>
      </w:r>
      <w:r>
        <w:rPr>
          <w:rFonts w:hAnsi="標楷體" w:cs="標楷體" w:hint="eastAsia"/>
          <w:szCs w:val="28"/>
        </w:rPr>
        <w:t>銷</w:t>
      </w:r>
      <w:r w:rsidRPr="00473194">
        <w:rPr>
          <w:rFonts w:hAnsi="標楷體" w:cs="標楷體" w:hint="eastAsia"/>
          <w:szCs w:val="28"/>
        </w:rPr>
        <w:t>新藥上市申請</w:t>
      </w:r>
      <w:r>
        <w:rPr>
          <w:rFonts w:hAnsi="標楷體" w:cs="標楷體" w:hint="eastAsia"/>
          <w:szCs w:val="28"/>
        </w:rPr>
        <w:t>或</w:t>
      </w:r>
      <w:r w:rsidRPr="00473194">
        <w:rPr>
          <w:rFonts w:hAnsi="標楷體" w:cs="標楷體" w:hint="eastAsia"/>
          <w:szCs w:val="28"/>
        </w:rPr>
        <w:t>刑事責任</w:t>
      </w:r>
      <w:r w:rsidRPr="00560FC8">
        <w:rPr>
          <w:rStyle w:val="ac"/>
          <w:rFonts w:cs="標楷體"/>
          <w:szCs w:val="28"/>
        </w:rPr>
        <w:footnoteReference w:id="28"/>
      </w:r>
      <w:r w:rsidRPr="00560FC8">
        <w:rPr>
          <w:rFonts w:hAnsi="標楷體" w:cs="標楷體" w:hint="eastAsia"/>
          <w:szCs w:val="28"/>
        </w:rPr>
        <w:t>。</w:t>
      </w:r>
    </w:p>
    <w:p w:rsidR="00DB326D" w:rsidRDefault="00DB326D" w:rsidP="00DB326D">
      <w:pPr>
        <w:outlineLvl w:val="3"/>
      </w:pPr>
      <w:r>
        <w:rPr>
          <w:rFonts w:hAnsi="標楷體" w:cs="標楷體"/>
          <w:szCs w:val="28"/>
        </w:rPr>
        <w:t xml:space="preserve">    </w:t>
      </w:r>
      <w:r>
        <w:rPr>
          <w:rFonts w:hAnsi="標楷體" w:cs="標楷體" w:hint="eastAsia"/>
          <w:szCs w:val="28"/>
        </w:rPr>
        <w:t>藥商通常透過醫學期刊或贊助醫師醫學繼續教育</w:t>
      </w:r>
      <w:r w:rsidRPr="006C2B04">
        <w:rPr>
          <w:rFonts w:hAnsi="新細明體" w:hint="eastAsia"/>
          <w:lang w:val="de-DE"/>
        </w:rPr>
        <w:t>（</w:t>
      </w:r>
      <w:r w:rsidRPr="006C2B04">
        <w:rPr>
          <w:lang w:val="de-DE"/>
        </w:rPr>
        <w:t>continuous medical eduaction,CME</w:t>
      </w:r>
      <w:r w:rsidRPr="006C2B04">
        <w:rPr>
          <w:rFonts w:hAnsi="新細明體" w:hint="eastAsia"/>
          <w:lang w:val="de-DE"/>
        </w:rPr>
        <w:t>）</w:t>
      </w:r>
      <w:r>
        <w:rPr>
          <w:rFonts w:hAnsi="標楷體" w:cs="標楷體" w:hint="eastAsia"/>
          <w:szCs w:val="28"/>
        </w:rPr>
        <w:t>的方式，將仿單外使用資訊置入醫學期刊文章及</w:t>
      </w:r>
      <w:r>
        <w:rPr>
          <w:rFonts w:hAnsi="標楷體" w:cs="標楷體"/>
          <w:szCs w:val="28"/>
        </w:rPr>
        <w:t>CME</w:t>
      </w:r>
      <w:r>
        <w:rPr>
          <w:rFonts w:hAnsi="標楷體" w:cs="標楷體" w:hint="eastAsia"/>
          <w:szCs w:val="28"/>
        </w:rPr>
        <w:t>課程中，達成與醫師資訊交流的目的，依</w:t>
      </w:r>
      <w:r>
        <w:rPr>
          <w:rFonts w:hAnsi="標楷體" w:cs="標楷體"/>
          <w:szCs w:val="28"/>
        </w:rPr>
        <w:t xml:space="preserve"> 401 </w:t>
      </w:r>
      <w:r>
        <w:rPr>
          <w:rFonts w:hAnsi="標楷體" w:cs="標楷體" w:hint="eastAsia"/>
          <w:szCs w:val="28"/>
        </w:rPr>
        <w:t>條款指引規定除</w:t>
      </w:r>
      <w:r>
        <w:rPr>
          <w:rFonts w:hint="eastAsia"/>
        </w:rPr>
        <w:t>事後補充申請核准新使用之適應症（</w:t>
      </w:r>
      <w:r>
        <w:t>36</w:t>
      </w:r>
      <w:r>
        <w:rPr>
          <w:rFonts w:hint="eastAsia"/>
        </w:rPr>
        <w:t>個月內）、</w:t>
      </w:r>
      <w:r w:rsidRPr="00307642">
        <w:rPr>
          <w:rFonts w:hAnsi="標楷體" w:cs="標楷體" w:hint="eastAsia"/>
          <w:szCs w:val="28"/>
        </w:rPr>
        <w:t>直接贊助</w:t>
      </w:r>
      <w:r>
        <w:rPr>
          <w:rFonts w:hAnsi="標楷體" w:cs="標楷體" w:hint="eastAsia"/>
          <w:szCs w:val="28"/>
        </w:rPr>
        <w:t>臨床</w:t>
      </w:r>
      <w:r w:rsidRPr="00307642">
        <w:rPr>
          <w:rFonts w:hAnsi="標楷體" w:cs="標楷體" w:hint="eastAsia"/>
          <w:szCs w:val="28"/>
        </w:rPr>
        <w:t>試驗</w:t>
      </w:r>
      <w:r>
        <w:rPr>
          <w:rFonts w:hAnsi="標楷體" w:cs="標楷體" w:hint="eastAsia"/>
          <w:szCs w:val="28"/>
        </w:rPr>
        <w:t>、</w:t>
      </w:r>
      <w:r>
        <w:rPr>
          <w:rFonts w:hint="eastAsia"/>
        </w:rPr>
        <w:t>事先將完整資訊先提供</w:t>
      </w:r>
      <w:r>
        <w:t>FDA</w:t>
      </w:r>
      <w:r>
        <w:rPr>
          <w:rFonts w:hint="eastAsia"/>
        </w:rPr>
        <w:t>審核（</w:t>
      </w:r>
      <w:r>
        <w:t>6</w:t>
      </w:r>
      <w:r>
        <w:rPr>
          <w:rFonts w:hint="eastAsia"/>
        </w:rPr>
        <w:t>天前）以及在提供資訊中必須表明</w:t>
      </w:r>
      <w:r w:rsidRPr="00307642">
        <w:rPr>
          <w:rFonts w:ascii="新細明體" w:hAnsi="標楷體" w:cs="標楷體" w:hint="eastAsia"/>
          <w:szCs w:val="28"/>
        </w:rPr>
        <w:t>新用途尚未經</w:t>
      </w:r>
      <w:r w:rsidRPr="00307642">
        <w:rPr>
          <w:rFonts w:ascii="新細明體" w:hAnsi="標楷體" w:cs="標楷體"/>
          <w:szCs w:val="28"/>
        </w:rPr>
        <w:t>FDA</w:t>
      </w:r>
      <w:r w:rsidRPr="00307642">
        <w:rPr>
          <w:rFonts w:ascii="新細明體" w:hAnsi="標楷體" w:cs="標楷體" w:hint="eastAsia"/>
          <w:szCs w:val="28"/>
        </w:rPr>
        <w:t>核准的表示</w:t>
      </w:r>
      <w:r>
        <w:rPr>
          <w:rFonts w:hint="eastAsia"/>
        </w:rPr>
        <w:t>，而例外允許</w:t>
      </w:r>
      <w:r>
        <w:rPr>
          <w:rFonts w:hint="eastAsia"/>
        </w:rPr>
        <w:lastRenderedPageBreak/>
        <w:t>藥商得以仿單外使用之資訊與醫師交流外，一律加以禁止，並未區分所散布之資訊究竟是否於科學及醫學上屬於真實或非誤導之資訊，或者屬於毫無科學資料支持之不實訊息，因此，</w:t>
      </w:r>
      <w:r w:rsidRPr="006D2E5C">
        <w:rPr>
          <w:rFonts w:hAnsi="新細明體" w:cs="標楷體" w:hint="eastAsia"/>
          <w:lang w:val="de-DE"/>
        </w:rPr>
        <w:t>在</w:t>
      </w:r>
      <w:r w:rsidRPr="006D2E5C">
        <w:rPr>
          <w:rFonts w:cs="標楷體"/>
          <w:lang w:val="de-DE"/>
        </w:rPr>
        <w:t>1990</w:t>
      </w:r>
      <w:r w:rsidRPr="006D2E5C">
        <w:rPr>
          <w:rFonts w:hAnsi="新細明體" w:cs="標楷體" w:hint="eastAsia"/>
          <w:lang w:val="de-DE"/>
        </w:rPr>
        <w:t>年代早期</w:t>
      </w:r>
      <w:r>
        <w:rPr>
          <w:rFonts w:hAnsi="新細明體" w:cs="標楷體" w:hint="eastAsia"/>
          <w:lang w:val="de-DE"/>
        </w:rPr>
        <w:t>華盛頓法律基金會</w:t>
      </w:r>
      <w:r w:rsidRPr="006D2E5C">
        <w:rPr>
          <w:rFonts w:hAnsi="新細明體" w:cs="標楷體" w:hint="eastAsia"/>
          <w:lang w:val="de-DE"/>
        </w:rPr>
        <w:t>（</w:t>
      </w:r>
      <w:r w:rsidRPr="006D2E5C">
        <w:rPr>
          <w:rFonts w:cs="標楷體"/>
          <w:lang w:val="de-DE"/>
        </w:rPr>
        <w:t>Washington Legal Foundation</w:t>
      </w:r>
      <w:r>
        <w:rPr>
          <w:rFonts w:cs="標楷體" w:hint="eastAsia"/>
          <w:lang w:val="de-DE"/>
        </w:rPr>
        <w:t>，</w:t>
      </w:r>
      <w:r w:rsidRPr="006D2E5C">
        <w:rPr>
          <w:rFonts w:cs="標楷體"/>
          <w:lang w:val="de-DE"/>
        </w:rPr>
        <w:t>WLF</w:t>
      </w:r>
      <w:r w:rsidRPr="006D2E5C">
        <w:rPr>
          <w:rFonts w:hAnsi="新細明體" w:cs="標楷體" w:hint="eastAsia"/>
          <w:lang w:val="de-DE"/>
        </w:rPr>
        <w:t>），</w:t>
      </w:r>
      <w:r w:rsidRPr="006D2E5C">
        <w:rPr>
          <w:rFonts w:hAnsi="新細明體" w:cs="標楷體" w:hint="eastAsia"/>
        </w:rPr>
        <w:t>一個企業贊助非營利組織</w:t>
      </w:r>
      <w:r w:rsidRPr="006D2E5C">
        <w:rPr>
          <w:rFonts w:hAnsi="新細明體" w:cs="標楷體" w:hint="eastAsia"/>
          <w:lang w:val="de-DE"/>
        </w:rPr>
        <w:t>，</w:t>
      </w:r>
      <w:r w:rsidRPr="006D2E5C">
        <w:rPr>
          <w:rFonts w:hAnsi="新細明體" w:cs="標楷體" w:hint="eastAsia"/>
        </w:rPr>
        <w:t>提出公民請願書</w:t>
      </w:r>
      <w:r w:rsidRPr="006D2E5C">
        <w:rPr>
          <w:rFonts w:hAnsi="新細明體" w:cs="標楷體" w:hint="eastAsia"/>
          <w:lang w:val="de-DE"/>
        </w:rPr>
        <w:t>（</w:t>
      </w:r>
      <w:r w:rsidRPr="006D2E5C">
        <w:rPr>
          <w:rFonts w:cs="標楷體"/>
          <w:lang w:val="de-DE"/>
        </w:rPr>
        <w:t>citizen’s petition</w:t>
      </w:r>
      <w:r w:rsidRPr="006D2E5C">
        <w:rPr>
          <w:rFonts w:hAnsi="新細明體" w:cs="標楷體" w:hint="eastAsia"/>
          <w:lang w:val="de-DE"/>
        </w:rPr>
        <w:t>）</w:t>
      </w:r>
      <w:r>
        <w:rPr>
          <w:rFonts w:hAnsi="新細明體" w:cs="標楷體" w:hint="eastAsia"/>
          <w:lang w:val="de-DE"/>
        </w:rPr>
        <w:t>針對</w:t>
      </w:r>
      <w:r w:rsidRPr="006D2E5C">
        <w:rPr>
          <w:rFonts w:cs="標楷體"/>
          <w:lang w:val="de-DE"/>
        </w:rPr>
        <w:t>FDA</w:t>
      </w:r>
      <w:r w:rsidRPr="006D2E5C">
        <w:rPr>
          <w:rFonts w:hAnsi="新細明體" w:cs="標楷體" w:hint="eastAsia"/>
          <w:lang w:val="de-DE"/>
        </w:rPr>
        <w:t>限制</w:t>
      </w:r>
      <w:r>
        <w:rPr>
          <w:rFonts w:hAnsi="新細明體" w:cs="標楷體" w:hint="eastAsia"/>
          <w:lang w:val="de-DE"/>
        </w:rPr>
        <w:t>仿單外</w:t>
      </w:r>
      <w:r w:rsidRPr="006D2E5C">
        <w:rPr>
          <w:rFonts w:hAnsi="新細明體" w:cs="標楷體" w:hint="eastAsia"/>
          <w:lang w:val="de-DE"/>
        </w:rPr>
        <w:t>使用</w:t>
      </w:r>
      <w:r>
        <w:rPr>
          <w:rFonts w:hAnsi="新細明體" w:cs="標楷體" w:hint="eastAsia"/>
          <w:lang w:val="de-DE"/>
        </w:rPr>
        <w:t>之醫學期刊</w:t>
      </w:r>
      <w:r w:rsidRPr="006D2E5C">
        <w:rPr>
          <w:rFonts w:hAnsi="新細明體" w:cs="標楷體" w:hint="eastAsia"/>
          <w:lang w:val="de-DE"/>
        </w:rPr>
        <w:t>文章影印本的散播與</w:t>
      </w:r>
      <w:r>
        <w:rPr>
          <w:rFonts w:hAnsi="新細明體" w:cs="標楷體" w:hint="eastAsia"/>
          <w:lang w:val="de-DE"/>
        </w:rPr>
        <w:t>藥商</w:t>
      </w:r>
      <w:r w:rsidRPr="006D2E5C">
        <w:rPr>
          <w:rFonts w:hAnsi="新細明體" w:cs="標楷體" w:hint="eastAsia"/>
          <w:lang w:val="de-DE"/>
        </w:rPr>
        <w:t>贊助</w:t>
      </w:r>
      <w:r w:rsidRPr="006D2E5C">
        <w:rPr>
          <w:rFonts w:cs="標楷體"/>
          <w:lang w:val="de-DE"/>
        </w:rPr>
        <w:t>CME</w:t>
      </w:r>
      <w:r w:rsidRPr="006D2E5C">
        <w:rPr>
          <w:rFonts w:hAnsi="新細明體" w:cs="標楷體" w:hint="eastAsia"/>
          <w:lang w:val="de-DE"/>
        </w:rPr>
        <w:t>，向聯邦法院提出</w:t>
      </w:r>
      <w:r w:rsidRPr="006D2E5C">
        <w:rPr>
          <w:rFonts w:cs="標楷體"/>
          <w:lang w:val="de-DE"/>
        </w:rPr>
        <w:t>FDA</w:t>
      </w:r>
      <w:r w:rsidRPr="006D2E5C">
        <w:rPr>
          <w:rFonts w:hAnsi="新細明體" w:cs="標楷體" w:hint="eastAsia"/>
          <w:lang w:val="de-DE"/>
        </w:rPr>
        <w:t>違反</w:t>
      </w:r>
      <w:r>
        <w:rPr>
          <w:rFonts w:hAnsi="新細明體" w:cs="標楷體" w:hint="eastAsia"/>
          <w:lang w:val="de-DE"/>
        </w:rPr>
        <w:t>憲法</w:t>
      </w:r>
      <w:r w:rsidRPr="006D2E5C">
        <w:rPr>
          <w:rFonts w:hAnsi="新細明體" w:cs="標楷體" w:hint="eastAsia"/>
          <w:lang w:val="de-DE"/>
        </w:rPr>
        <w:t>第一修正法案</w:t>
      </w:r>
      <w:r>
        <w:rPr>
          <w:rFonts w:hAnsi="新細明體" w:cs="標楷體" w:hint="eastAsia"/>
          <w:lang w:val="de-DE"/>
        </w:rPr>
        <w:t>，認為藥商</w:t>
      </w:r>
      <w:r w:rsidRPr="006D2E5C">
        <w:rPr>
          <w:rFonts w:hAnsi="新細明體" w:cs="標楷體" w:hint="eastAsia"/>
          <w:lang w:val="de-DE"/>
        </w:rPr>
        <w:t>有權傳播資訊與醫師有權接收該資訊。</w:t>
      </w:r>
      <w:r w:rsidRPr="006D2E5C">
        <w:rPr>
          <w:rFonts w:cs="標楷體"/>
          <w:lang w:val="de-DE"/>
        </w:rPr>
        <w:t>WLF</w:t>
      </w:r>
      <w:r w:rsidRPr="006D2E5C">
        <w:rPr>
          <w:rFonts w:hAnsi="新細明體" w:cs="標楷體" w:hint="eastAsia"/>
          <w:lang w:val="de-DE"/>
        </w:rPr>
        <w:t>也主張關於</w:t>
      </w:r>
      <w:r>
        <w:rPr>
          <w:rFonts w:hAnsi="新細明體" w:cs="標楷體" w:hint="eastAsia"/>
          <w:lang w:val="de-DE"/>
        </w:rPr>
        <w:t>仿單</w:t>
      </w:r>
      <w:r w:rsidRPr="006D2E5C">
        <w:rPr>
          <w:rFonts w:hAnsi="新細明體" w:cs="標楷體" w:hint="eastAsia"/>
          <w:lang w:val="de-DE"/>
        </w:rPr>
        <w:t>外使用科學與醫學</w:t>
      </w:r>
      <w:r>
        <w:rPr>
          <w:rFonts w:hAnsi="新細明體" w:cs="標楷體" w:hint="eastAsia"/>
          <w:lang w:val="de-DE"/>
        </w:rPr>
        <w:t>上</w:t>
      </w:r>
      <w:r w:rsidRPr="006D2E5C">
        <w:rPr>
          <w:rFonts w:hAnsi="新細明體" w:cs="標楷體" w:hint="eastAsia"/>
          <w:lang w:val="de-DE"/>
        </w:rPr>
        <w:t>資訊</w:t>
      </w:r>
      <w:r>
        <w:rPr>
          <w:rFonts w:hAnsi="新細明體" w:cs="標楷體" w:hint="eastAsia"/>
          <w:lang w:val="de-DE"/>
        </w:rPr>
        <w:t>的傳播</w:t>
      </w:r>
      <w:r w:rsidRPr="006D2E5C">
        <w:rPr>
          <w:rFonts w:hAnsi="新細明體" w:cs="標楷體" w:hint="eastAsia"/>
          <w:lang w:val="de-DE"/>
        </w:rPr>
        <w:t>應該被許可</w:t>
      </w:r>
      <w:r>
        <w:rPr>
          <w:rFonts w:hAnsi="新細明體" w:cs="標楷體" w:hint="eastAsia"/>
          <w:lang w:val="de-DE"/>
        </w:rPr>
        <w:t>，</w:t>
      </w:r>
      <w:r w:rsidRPr="006D2E5C">
        <w:rPr>
          <w:rFonts w:hAnsi="新細明體" w:cs="標楷體" w:hint="eastAsia"/>
          <w:lang w:val="de-DE"/>
        </w:rPr>
        <w:t>因為醫師處方時</w:t>
      </w:r>
      <w:r>
        <w:rPr>
          <w:rFonts w:hAnsi="新細明體" w:cs="標楷體" w:hint="eastAsia"/>
          <w:lang w:val="de-DE"/>
        </w:rPr>
        <w:t>也</w:t>
      </w:r>
      <w:r w:rsidRPr="006D2E5C">
        <w:rPr>
          <w:rFonts w:hAnsi="新細明體" w:cs="標楷體" w:hint="eastAsia"/>
          <w:lang w:val="de-DE"/>
        </w:rPr>
        <w:t>需要可靠的資訊</w:t>
      </w:r>
      <w:r>
        <w:rPr>
          <w:rFonts w:hAnsi="新細明體" w:cs="標楷體" w:hint="eastAsia"/>
          <w:lang w:val="de-DE"/>
        </w:rPr>
        <w:t>，</w:t>
      </w:r>
      <w:r w:rsidRPr="006D2E5C">
        <w:rPr>
          <w:rFonts w:cs="標楷體"/>
          <w:lang w:val="de-DE"/>
        </w:rPr>
        <w:t>FDA</w:t>
      </w:r>
      <w:r w:rsidRPr="006D2E5C">
        <w:rPr>
          <w:rFonts w:hAnsi="新細明體" w:cs="標楷體" w:hint="eastAsia"/>
          <w:lang w:val="de-DE"/>
        </w:rPr>
        <w:t>不應該去限制資訊的流動</w:t>
      </w:r>
      <w:r>
        <w:rPr>
          <w:rFonts w:hAnsi="新細明體" w:cs="標楷體" w:hint="eastAsia"/>
          <w:lang w:val="de-DE"/>
        </w:rPr>
        <w:t>，</w:t>
      </w:r>
      <w:r w:rsidRPr="006D2E5C">
        <w:rPr>
          <w:rFonts w:hAnsi="新細明體" w:cs="標楷體" w:hint="eastAsia"/>
          <w:lang w:val="de-DE"/>
        </w:rPr>
        <w:t>只因</w:t>
      </w:r>
      <w:r>
        <w:rPr>
          <w:rFonts w:hAnsi="新細明體" w:cs="標楷體" w:hint="eastAsia"/>
          <w:lang w:val="de-DE"/>
        </w:rPr>
        <w:t>資訊來</w:t>
      </w:r>
      <w:r w:rsidRPr="006D2E5C">
        <w:rPr>
          <w:rFonts w:hAnsi="新細明體" w:cs="標楷體" w:hint="eastAsia"/>
          <w:lang w:val="de-DE"/>
        </w:rPr>
        <w:t>源</w:t>
      </w:r>
      <w:r>
        <w:rPr>
          <w:rFonts w:hAnsi="新細明體" w:cs="標楷體" w:hint="eastAsia"/>
          <w:lang w:val="de-DE"/>
        </w:rPr>
        <w:t>是藥商</w:t>
      </w:r>
      <w:r w:rsidRPr="006D2E5C">
        <w:rPr>
          <w:rFonts w:hAnsi="新細明體" w:cs="標楷體" w:hint="eastAsia"/>
          <w:lang w:val="de-DE"/>
        </w:rPr>
        <w:t>。</w:t>
      </w:r>
      <w:r w:rsidRPr="006D2E5C">
        <w:rPr>
          <w:rFonts w:cs="標楷體"/>
          <w:lang w:val="de-DE"/>
        </w:rPr>
        <w:t>FDA</w:t>
      </w:r>
      <w:r w:rsidRPr="006D2E5C">
        <w:rPr>
          <w:rFonts w:hAnsi="新細明體" w:cs="標楷體" w:hint="eastAsia"/>
          <w:lang w:val="de-DE"/>
        </w:rPr>
        <w:t>主張</w:t>
      </w:r>
      <w:r>
        <w:rPr>
          <w:rFonts w:hAnsi="新細明體" w:cs="標楷體" w:hint="eastAsia"/>
          <w:lang w:val="de-DE"/>
        </w:rPr>
        <w:t>上開限制</w:t>
      </w:r>
      <w:r w:rsidRPr="006D2E5C">
        <w:rPr>
          <w:rFonts w:hAnsi="新細明體" w:cs="標楷體" w:hint="eastAsia"/>
          <w:lang w:val="de-DE"/>
        </w:rPr>
        <w:t>試圖保護的二個利益：</w:t>
      </w:r>
      <w:r>
        <w:rPr>
          <w:rFonts w:hAnsi="新細明體" w:cs="標楷體"/>
          <w:lang w:val="de-DE"/>
        </w:rPr>
        <w:t>1</w:t>
      </w:r>
      <w:r>
        <w:rPr>
          <w:rFonts w:hAnsi="新細明體" w:cs="標楷體" w:hint="eastAsia"/>
          <w:lang w:val="de-DE"/>
        </w:rPr>
        <w:t>、</w:t>
      </w:r>
      <w:r w:rsidRPr="006D2E5C">
        <w:rPr>
          <w:rFonts w:hAnsi="新細明體" w:cs="標楷體" w:hint="eastAsia"/>
          <w:lang w:val="de-DE"/>
        </w:rPr>
        <w:t>確保醫師接受正確且無偏頗的資訊</w:t>
      </w:r>
      <w:r>
        <w:rPr>
          <w:rFonts w:hAnsi="新細明體" w:cs="標楷體" w:hint="eastAsia"/>
          <w:lang w:val="de-DE"/>
        </w:rPr>
        <w:t>，</w:t>
      </w:r>
      <w:r w:rsidRPr="006D2E5C">
        <w:rPr>
          <w:rFonts w:hAnsi="新細明體" w:cs="標楷體" w:hint="eastAsia"/>
          <w:lang w:val="de-DE"/>
        </w:rPr>
        <w:t>以便</w:t>
      </w:r>
      <w:r>
        <w:rPr>
          <w:rFonts w:hAnsi="新細明體" w:cs="標楷體" w:hint="eastAsia"/>
          <w:lang w:val="de-DE"/>
        </w:rPr>
        <w:t>依</w:t>
      </w:r>
      <w:r w:rsidRPr="006D2E5C">
        <w:rPr>
          <w:rFonts w:hAnsi="新細明體" w:cs="標楷體" w:hint="eastAsia"/>
          <w:lang w:val="de-DE"/>
        </w:rPr>
        <w:t>據</w:t>
      </w:r>
      <w:r>
        <w:rPr>
          <w:rFonts w:hAnsi="新細明體" w:cs="標楷體" w:hint="eastAsia"/>
          <w:lang w:val="de-DE"/>
        </w:rPr>
        <w:t>該</w:t>
      </w:r>
      <w:r w:rsidRPr="006D2E5C">
        <w:rPr>
          <w:rFonts w:hAnsi="新細明體" w:cs="標楷體" w:hint="eastAsia"/>
          <w:lang w:val="de-DE"/>
        </w:rPr>
        <w:t>資訊</w:t>
      </w:r>
      <w:r>
        <w:rPr>
          <w:rFonts w:hAnsi="新細明體" w:cs="標楷體" w:hint="eastAsia"/>
          <w:lang w:val="de-DE"/>
        </w:rPr>
        <w:t>而</w:t>
      </w:r>
      <w:r w:rsidRPr="006D2E5C">
        <w:rPr>
          <w:rFonts w:hAnsi="新細明體" w:cs="標楷體" w:hint="eastAsia"/>
          <w:lang w:val="de-DE"/>
        </w:rPr>
        <w:t>為處方選擇；</w:t>
      </w:r>
      <w:r>
        <w:rPr>
          <w:rFonts w:hAnsi="新細明體" w:cs="標楷體"/>
          <w:lang w:val="de-DE"/>
        </w:rPr>
        <w:t>2</w:t>
      </w:r>
      <w:r>
        <w:rPr>
          <w:rFonts w:hAnsi="新細明體" w:cs="標楷體" w:hint="eastAsia"/>
          <w:lang w:val="de-DE"/>
        </w:rPr>
        <w:t>、</w:t>
      </w:r>
      <w:r w:rsidRPr="006D2E5C">
        <w:rPr>
          <w:rFonts w:hAnsi="新細明體" w:cs="標楷體" w:hint="eastAsia"/>
          <w:lang w:val="de-DE"/>
        </w:rPr>
        <w:t>提供藥商誘因去</w:t>
      </w:r>
      <w:r>
        <w:rPr>
          <w:rFonts w:hAnsi="新細明體" w:cs="標楷體" w:hint="eastAsia"/>
          <w:lang w:val="de-DE"/>
        </w:rPr>
        <w:t>申請</w:t>
      </w:r>
      <w:r w:rsidRPr="006D2E5C">
        <w:rPr>
          <w:rFonts w:hAnsi="新細明體" w:cs="標楷體" w:hint="eastAsia"/>
          <w:lang w:val="de-DE"/>
        </w:rPr>
        <w:t>先前未核准的用途</w:t>
      </w:r>
      <w:r>
        <w:rPr>
          <w:rFonts w:hAnsi="新細明體" w:cs="標楷體" w:hint="eastAsia"/>
          <w:lang w:val="de-DE"/>
        </w:rPr>
        <w:t>以變更仿單</w:t>
      </w:r>
      <w:r w:rsidRPr="006D2E5C">
        <w:rPr>
          <w:rFonts w:hAnsi="新細明體" w:cs="標楷體" w:hint="eastAsia"/>
          <w:lang w:val="de-DE"/>
        </w:rPr>
        <w:t>標</w:t>
      </w:r>
      <w:r>
        <w:rPr>
          <w:rFonts w:hAnsi="新細明體" w:cs="標楷體" w:hint="eastAsia"/>
          <w:lang w:val="de-DE"/>
        </w:rPr>
        <w:t>示</w:t>
      </w:r>
      <w:r w:rsidRPr="006D2E5C">
        <w:rPr>
          <w:rFonts w:hAnsi="新細明體" w:cs="標楷體" w:hint="eastAsia"/>
          <w:lang w:val="de-DE"/>
        </w:rPr>
        <w:t>。</w:t>
      </w:r>
      <w:r>
        <w:rPr>
          <w:rFonts w:hAnsi="新細明體" w:cs="標楷體" w:hint="eastAsia"/>
          <w:lang w:val="de-DE"/>
        </w:rPr>
        <w:t>因此，</w:t>
      </w:r>
      <w:r>
        <w:rPr>
          <w:rFonts w:hAnsi="新細明體" w:cs="標楷體"/>
          <w:lang w:val="de-DE"/>
        </w:rPr>
        <w:t>FDA</w:t>
      </w:r>
      <w:r>
        <w:rPr>
          <w:rFonts w:hAnsi="新細明體" w:cs="標楷體" w:hint="eastAsia"/>
          <w:lang w:val="de-DE"/>
        </w:rPr>
        <w:t>主張所為上開管制是適當而無違反藥商憲法言論自由之保障。法院引用</w:t>
      </w:r>
      <w:r w:rsidRPr="00560FC8">
        <w:rPr>
          <w:rFonts w:hAnsi="標楷體" w:cs="標楷體" w:hint="eastAsia"/>
          <w:szCs w:val="28"/>
        </w:rPr>
        <w:t>美國聯邦最高法院曾於</w:t>
      </w:r>
      <w:r>
        <w:rPr>
          <w:rFonts w:hAnsi="標楷體" w:cs="標楷體"/>
          <w:szCs w:val="28"/>
        </w:rPr>
        <w:t>1980</w:t>
      </w:r>
      <w:r w:rsidRPr="00560FC8">
        <w:rPr>
          <w:rFonts w:hAnsi="標楷體" w:cs="標楷體" w:hint="eastAsia"/>
          <w:szCs w:val="28"/>
        </w:rPr>
        <w:t>年的</w:t>
      </w:r>
      <w:r w:rsidRPr="001E33E1">
        <w:rPr>
          <w:rFonts w:cs="標楷體"/>
          <w:szCs w:val="28"/>
          <w:lang w:val="de-DE"/>
        </w:rPr>
        <w:t xml:space="preserve">Central Hudson Gas &amp; Electric Corp. v. Public Service Commission of New York </w:t>
      </w:r>
      <w:r w:rsidRPr="00560FC8">
        <w:rPr>
          <w:rFonts w:hAnsi="標楷體" w:cs="標楷體" w:hint="eastAsia"/>
          <w:szCs w:val="28"/>
        </w:rPr>
        <w:t>一案</w:t>
      </w:r>
      <w:r>
        <w:rPr>
          <w:rStyle w:val="ac"/>
          <w:rFonts w:hAnsi="標楷體" w:cs="標楷體"/>
          <w:szCs w:val="28"/>
        </w:rPr>
        <w:footnoteReference w:id="29"/>
      </w:r>
      <w:r w:rsidRPr="00560FC8">
        <w:rPr>
          <w:rFonts w:hAnsi="標楷體" w:cs="標楷體" w:hint="eastAsia"/>
          <w:szCs w:val="28"/>
        </w:rPr>
        <w:t>中</w:t>
      </w:r>
      <w:r>
        <w:rPr>
          <w:rFonts w:hAnsi="標楷體" w:cs="標楷體" w:hint="eastAsia"/>
          <w:szCs w:val="28"/>
        </w:rPr>
        <w:t>所發展</w:t>
      </w:r>
      <w:r w:rsidRPr="00560FC8">
        <w:rPr>
          <w:rFonts w:hAnsi="標楷體" w:cs="標楷體" w:hint="eastAsia"/>
          <w:szCs w:val="28"/>
        </w:rPr>
        <w:t>審理商業言論案件的四項標準</w:t>
      </w:r>
      <w:r>
        <w:rPr>
          <w:rFonts w:hAnsi="標楷體" w:cs="標楷體" w:hint="eastAsia"/>
          <w:szCs w:val="28"/>
        </w:rPr>
        <w:t>（</w:t>
      </w:r>
      <w:r w:rsidRPr="00560FC8">
        <w:rPr>
          <w:rFonts w:cs="標楷體"/>
          <w:szCs w:val="28"/>
        </w:rPr>
        <w:t>Central Hudson Test</w:t>
      </w:r>
      <w:r>
        <w:rPr>
          <w:rFonts w:cs="標楷體" w:hint="eastAsia"/>
          <w:szCs w:val="28"/>
        </w:rPr>
        <w:t>）進行審查</w:t>
      </w:r>
      <w:r w:rsidRPr="001E33E1">
        <w:rPr>
          <w:rFonts w:hAnsi="標楷體" w:cs="標楷體" w:hint="eastAsia"/>
          <w:szCs w:val="28"/>
          <w:lang w:val="de-DE"/>
        </w:rPr>
        <w:t>，</w:t>
      </w:r>
      <w:r>
        <w:rPr>
          <w:rFonts w:hAnsi="標楷體" w:cs="標楷體" w:hint="eastAsia"/>
          <w:szCs w:val="28"/>
          <w:lang w:val="de-DE"/>
        </w:rPr>
        <w:t>即</w:t>
      </w:r>
      <w:r>
        <w:rPr>
          <w:rFonts w:hint="eastAsia"/>
        </w:rPr>
        <w:t>：（１）言論須合法且無誤導；（２）所宣稱保障之政府利益是有實質重要性；（３）所為之限制規範直接有助於提昇所宣稱之政府利益；以及（４）所為限制規範並不過當，認為仿單外之使用資訊以廣告或其他方式提供予醫師進行藥品促銷是屬於商業性言論，而</w:t>
      </w:r>
      <w:r>
        <w:t>FDA</w:t>
      </w:r>
      <w:r>
        <w:rPr>
          <w:rFonts w:hint="eastAsia"/>
        </w:rPr>
        <w:t>的限制未符合上開第四項標準，認為</w:t>
      </w:r>
      <w:r>
        <w:t>FDA</w:t>
      </w:r>
      <w:r>
        <w:rPr>
          <w:rFonts w:hint="eastAsia"/>
        </w:rPr>
        <w:t>管制過度，只能針對藥商錯誤或詐欺的資訊散播，認為要求藥商事後進行新藥上市補充申請的規定是一種脅迫，而認上開規定有違反憲法第一修正法案</w:t>
      </w:r>
      <w:r>
        <w:rPr>
          <w:rStyle w:val="ac"/>
        </w:rPr>
        <w:footnoteReference w:id="30"/>
      </w:r>
      <w:r>
        <w:rPr>
          <w:rFonts w:hint="eastAsia"/>
        </w:rPr>
        <w:t>；在上訴審，</w:t>
      </w:r>
      <w:r>
        <w:t>FDA</w:t>
      </w:r>
      <w:r>
        <w:rPr>
          <w:rFonts w:hint="eastAsia"/>
        </w:rPr>
        <w:t>認為關於</w:t>
      </w:r>
      <w:r>
        <w:t>401</w:t>
      </w:r>
      <w:r>
        <w:rPr>
          <w:rFonts w:hint="eastAsia"/>
        </w:rPr>
        <w:t>條指引之規定僅係提供安全港（</w:t>
      </w:r>
      <w:r>
        <w:t>safe harbor</w:t>
      </w:r>
      <w:r>
        <w:rPr>
          <w:rFonts w:hint="eastAsia"/>
        </w:rPr>
        <w:t>，即若符合該條款所發布之</w:t>
      </w:r>
      <w:r w:rsidRPr="002A0C39">
        <w:rPr>
          <w:rFonts w:hAnsi="標楷體" w:cs="標楷體" w:hint="eastAsia"/>
          <w:szCs w:val="28"/>
        </w:rPr>
        <w:t>指引即無違反</w:t>
      </w:r>
      <w:r w:rsidRPr="002A0C39">
        <w:rPr>
          <w:rFonts w:cs="標楷體"/>
          <w:szCs w:val="28"/>
        </w:rPr>
        <w:t>FDA</w:t>
      </w:r>
      <w:r w:rsidRPr="002A0C39">
        <w:rPr>
          <w:rFonts w:hAnsi="標楷體" w:cs="標楷體" w:hint="eastAsia"/>
          <w:szCs w:val="28"/>
        </w:rPr>
        <w:t>規定之虞</w:t>
      </w:r>
      <w:r>
        <w:rPr>
          <w:rFonts w:hAnsi="標楷體" w:cs="標楷體" w:hint="eastAsia"/>
          <w:szCs w:val="28"/>
        </w:rPr>
        <w:t>，但非違反該規定即遭刑事起訴），</w:t>
      </w:r>
      <w:r>
        <w:t>FDAMA</w:t>
      </w:r>
      <w:r>
        <w:rPr>
          <w:rFonts w:hint="eastAsia"/>
        </w:rPr>
        <w:t>並未授權</w:t>
      </w:r>
      <w:r>
        <w:t>FDA</w:t>
      </w:r>
      <w:r>
        <w:rPr>
          <w:rFonts w:hint="eastAsia"/>
        </w:rPr>
        <w:t>禁止或認可仿單外使用的資訊討論，</w:t>
      </w:r>
      <w:r w:rsidRPr="00DE02C4">
        <w:rPr>
          <w:rFonts w:hAnsi="標楷體" w:cs="標楷體" w:hint="eastAsia"/>
          <w:szCs w:val="28"/>
          <w:lang w:val="de-DE"/>
        </w:rPr>
        <w:t>因此</w:t>
      </w:r>
      <w:r>
        <w:rPr>
          <w:rFonts w:hAnsi="標楷體" w:cs="標楷體" w:hint="eastAsia"/>
          <w:szCs w:val="28"/>
          <w:lang w:val="de-DE"/>
        </w:rPr>
        <w:t>上訴</w:t>
      </w:r>
      <w:r w:rsidRPr="00DE02C4">
        <w:rPr>
          <w:rFonts w:hAnsi="標楷體" w:cs="標楷體" w:hint="eastAsia"/>
          <w:szCs w:val="28"/>
          <w:lang w:val="de-DE"/>
        </w:rPr>
        <w:t>法院</w:t>
      </w:r>
      <w:r>
        <w:rPr>
          <w:rFonts w:hAnsi="標楷體" w:cs="標楷體" w:hint="eastAsia"/>
          <w:szCs w:val="28"/>
          <w:lang w:val="de-DE"/>
        </w:rPr>
        <w:t>以</w:t>
      </w:r>
      <w:r w:rsidRPr="00DE02C4">
        <w:rPr>
          <w:rFonts w:hAnsi="標楷體" w:cs="標楷體" w:hint="eastAsia"/>
          <w:szCs w:val="28"/>
          <w:lang w:val="de-DE"/>
        </w:rPr>
        <w:t>技術上欠缺憲法的爭議並且</w:t>
      </w:r>
      <w:r>
        <w:rPr>
          <w:rFonts w:hAnsi="標楷體" w:cs="標楷體" w:hint="eastAsia"/>
          <w:szCs w:val="28"/>
          <w:lang w:val="de-DE"/>
        </w:rPr>
        <w:t>撤銷</w:t>
      </w:r>
      <w:r w:rsidRPr="00DE02C4">
        <w:rPr>
          <w:rFonts w:hAnsi="標楷體" w:cs="標楷體" w:hint="eastAsia"/>
          <w:szCs w:val="28"/>
          <w:lang w:val="de-DE"/>
        </w:rPr>
        <w:t>地方法院決定與強制令</w:t>
      </w:r>
      <w:r>
        <w:rPr>
          <w:rStyle w:val="ac"/>
        </w:rPr>
        <w:footnoteReference w:id="31"/>
      </w:r>
      <w:r>
        <w:rPr>
          <w:rFonts w:hint="eastAsia"/>
        </w:rPr>
        <w:t>。</w:t>
      </w:r>
    </w:p>
    <w:p w:rsidR="00DB326D" w:rsidRPr="002A6260" w:rsidRDefault="00DB326D" w:rsidP="00DB326D">
      <w:pPr>
        <w:outlineLvl w:val="3"/>
        <w:rPr>
          <w:rFonts w:cs="標楷體"/>
        </w:rPr>
      </w:pPr>
      <w:r>
        <w:t xml:space="preserve">    </w:t>
      </w:r>
      <w:r w:rsidRPr="002A6260">
        <w:rPr>
          <w:rFonts w:hAnsi="標楷體" w:cs="標楷體" w:hint="eastAsia"/>
          <w:lang w:val="de-DE"/>
        </w:rPr>
        <w:t>當</w:t>
      </w:r>
      <w:r w:rsidRPr="002A6260">
        <w:rPr>
          <w:rFonts w:cs="標楷體"/>
          <w:lang w:val="de-DE"/>
        </w:rPr>
        <w:t>FDAMA</w:t>
      </w:r>
      <w:r w:rsidRPr="002A6260">
        <w:rPr>
          <w:rFonts w:cs="標楷體" w:hint="eastAsia"/>
          <w:lang w:val="de-DE"/>
        </w:rPr>
        <w:t>之</w:t>
      </w:r>
      <w:r w:rsidRPr="002A6260">
        <w:rPr>
          <w:rFonts w:cs="標楷體"/>
          <w:lang w:val="de-DE"/>
        </w:rPr>
        <w:t>401</w:t>
      </w:r>
      <w:r w:rsidRPr="002A6260">
        <w:rPr>
          <w:rFonts w:cs="標楷體" w:hint="eastAsia"/>
          <w:lang w:val="de-DE"/>
        </w:rPr>
        <w:t>條款有效日期至</w:t>
      </w:r>
      <w:r w:rsidRPr="002A6260">
        <w:rPr>
          <w:rFonts w:cs="標楷體"/>
          <w:lang w:val="de-DE"/>
        </w:rPr>
        <w:t>2006</w:t>
      </w:r>
      <w:r w:rsidRPr="002A6260">
        <w:rPr>
          <w:rFonts w:cs="標楷體" w:hint="eastAsia"/>
          <w:lang w:val="de-DE"/>
        </w:rPr>
        <w:t>年</w:t>
      </w:r>
      <w:r w:rsidRPr="002A6260">
        <w:rPr>
          <w:rFonts w:cs="標楷體"/>
          <w:lang w:val="de-DE"/>
        </w:rPr>
        <w:t>9</w:t>
      </w:r>
      <w:r w:rsidRPr="002A6260">
        <w:rPr>
          <w:rFonts w:cs="標楷體" w:hint="eastAsia"/>
          <w:lang w:val="de-DE"/>
        </w:rPr>
        <w:t>月</w:t>
      </w:r>
      <w:r w:rsidRPr="002A6260">
        <w:rPr>
          <w:rFonts w:cs="標楷體"/>
          <w:lang w:val="de-DE"/>
        </w:rPr>
        <w:t>30</w:t>
      </w:r>
      <w:r w:rsidRPr="002A6260">
        <w:rPr>
          <w:rFonts w:cs="標楷體" w:hint="eastAsia"/>
          <w:lang w:val="de-DE"/>
        </w:rPr>
        <w:t>日，為避免規範的真空，</w:t>
      </w:r>
      <w:r w:rsidRPr="002A6260">
        <w:rPr>
          <w:rFonts w:cs="標楷體"/>
          <w:lang w:val="de-DE"/>
        </w:rPr>
        <w:t>FDA</w:t>
      </w:r>
      <w:r w:rsidRPr="002A6260">
        <w:rPr>
          <w:rFonts w:cs="標楷體" w:hint="eastAsia"/>
          <w:lang w:val="de-DE"/>
        </w:rPr>
        <w:t>於</w:t>
      </w:r>
      <w:r w:rsidRPr="002A6260">
        <w:rPr>
          <w:rFonts w:cs="標楷體"/>
        </w:rPr>
        <w:t>2008</w:t>
      </w:r>
      <w:r w:rsidRPr="002A6260">
        <w:rPr>
          <w:rFonts w:cs="標楷體" w:hint="eastAsia"/>
        </w:rPr>
        <w:t>年</w:t>
      </w:r>
      <w:r w:rsidRPr="002A6260">
        <w:rPr>
          <w:rFonts w:cs="標楷體"/>
        </w:rPr>
        <w:t>2</w:t>
      </w:r>
      <w:r w:rsidRPr="002A6260">
        <w:rPr>
          <w:rFonts w:cs="標楷體" w:hint="eastAsia"/>
        </w:rPr>
        <w:t>月</w:t>
      </w:r>
      <w:r w:rsidRPr="002A6260">
        <w:rPr>
          <w:rFonts w:cs="標楷體"/>
        </w:rPr>
        <w:t>15</w:t>
      </w:r>
      <w:r w:rsidRPr="002A6260">
        <w:rPr>
          <w:rFonts w:cs="標楷體" w:hint="eastAsia"/>
        </w:rPr>
        <w:t>日公布關於未核准用途藥商所為散播醫學期刊影本與出版物參考文獻新指引草約，並於</w:t>
      </w:r>
      <w:r w:rsidRPr="002A6260">
        <w:rPr>
          <w:rFonts w:cs="標楷體"/>
        </w:rPr>
        <w:t>2009</w:t>
      </w:r>
      <w:r w:rsidRPr="002A6260">
        <w:rPr>
          <w:rFonts w:cs="標楷體" w:hint="eastAsia"/>
        </w:rPr>
        <w:t>年</w:t>
      </w:r>
      <w:r w:rsidRPr="002A6260">
        <w:rPr>
          <w:rFonts w:cs="標楷體"/>
        </w:rPr>
        <w:t>1</w:t>
      </w:r>
      <w:r w:rsidRPr="002A6260">
        <w:rPr>
          <w:rFonts w:cs="標楷體" w:hint="eastAsia"/>
        </w:rPr>
        <w:t>月</w:t>
      </w:r>
      <w:r w:rsidRPr="002A6260">
        <w:rPr>
          <w:rFonts w:cs="標楷體"/>
        </w:rPr>
        <w:t>13</w:t>
      </w:r>
      <w:r w:rsidRPr="002A6260">
        <w:rPr>
          <w:rFonts w:cs="標楷體" w:hint="eastAsia"/>
        </w:rPr>
        <w:t>日確認新指引內容，新指引針對藥商關於仿單外使用資訊交流之管制與舊</w:t>
      </w:r>
      <w:r>
        <w:rPr>
          <w:rFonts w:cs="標楷體" w:hint="eastAsia"/>
        </w:rPr>
        <w:t>有</w:t>
      </w:r>
      <w:r w:rsidRPr="002A6260">
        <w:rPr>
          <w:rFonts w:cs="標楷體" w:hint="eastAsia"/>
        </w:rPr>
        <w:t>規</w:t>
      </w:r>
      <w:r>
        <w:rPr>
          <w:rFonts w:cs="標楷體" w:hint="eastAsia"/>
        </w:rPr>
        <w:t>範</w:t>
      </w:r>
      <w:r w:rsidRPr="002A6260">
        <w:rPr>
          <w:rFonts w:cs="標楷體" w:hint="eastAsia"/>
        </w:rPr>
        <w:t>最大不同有二：</w:t>
      </w:r>
    </w:p>
    <w:p w:rsidR="00DB326D" w:rsidRDefault="00DB326D" w:rsidP="00DB326D">
      <w:pPr>
        <w:outlineLvl w:val="3"/>
        <w:rPr>
          <w:rFonts w:cs="標楷體"/>
          <w:szCs w:val="28"/>
        </w:rPr>
      </w:pPr>
      <w:r>
        <w:rPr>
          <w:rFonts w:cs="標楷體"/>
          <w:szCs w:val="28"/>
        </w:rPr>
        <w:t>1</w:t>
      </w:r>
      <w:r>
        <w:rPr>
          <w:rFonts w:cs="標楷體" w:hint="eastAsia"/>
          <w:szCs w:val="28"/>
        </w:rPr>
        <w:t>、依舊規藥商</w:t>
      </w:r>
      <w:r w:rsidRPr="000A3D57">
        <w:rPr>
          <w:rFonts w:cs="標楷體" w:hint="eastAsia"/>
          <w:szCs w:val="28"/>
        </w:rPr>
        <w:t>能夠散布討論藥品</w:t>
      </w:r>
      <w:r>
        <w:rPr>
          <w:rFonts w:cs="標楷體" w:hint="eastAsia"/>
          <w:szCs w:val="28"/>
        </w:rPr>
        <w:t>仿單</w:t>
      </w:r>
      <w:r w:rsidRPr="000A3D57">
        <w:rPr>
          <w:rFonts w:cs="標楷體" w:hint="eastAsia"/>
          <w:szCs w:val="28"/>
        </w:rPr>
        <w:t>外使用之</w:t>
      </w:r>
      <w:r>
        <w:rPr>
          <w:rFonts w:cs="標楷體" w:hint="eastAsia"/>
          <w:szCs w:val="28"/>
        </w:rPr>
        <w:t>醫學</w:t>
      </w:r>
      <w:r w:rsidRPr="000A3D57">
        <w:rPr>
          <w:rFonts w:cs="標楷體" w:hint="eastAsia"/>
          <w:szCs w:val="28"/>
        </w:rPr>
        <w:t>期刊</w:t>
      </w:r>
      <w:r>
        <w:rPr>
          <w:rFonts w:cs="標楷體" w:hint="eastAsia"/>
          <w:szCs w:val="28"/>
        </w:rPr>
        <w:t>文章，</w:t>
      </w:r>
      <w:r w:rsidRPr="000A3D57">
        <w:rPr>
          <w:rFonts w:cs="標楷體" w:hint="eastAsia"/>
          <w:szCs w:val="28"/>
        </w:rPr>
        <w:t>只有在藥商保證做</w:t>
      </w:r>
      <w:r>
        <w:rPr>
          <w:rFonts w:cs="標楷體" w:hint="eastAsia"/>
          <w:szCs w:val="28"/>
        </w:rPr>
        <w:t>仿單</w:t>
      </w:r>
      <w:r w:rsidRPr="000A3D57">
        <w:rPr>
          <w:rFonts w:cs="標楷體" w:hint="eastAsia"/>
          <w:szCs w:val="28"/>
        </w:rPr>
        <w:t>外使用對照</w:t>
      </w:r>
      <w:r>
        <w:rPr>
          <w:rFonts w:cs="標楷體" w:hint="eastAsia"/>
          <w:szCs w:val="28"/>
        </w:rPr>
        <w:t>臨床實驗</w:t>
      </w:r>
      <w:r w:rsidRPr="000A3D57">
        <w:rPr>
          <w:rFonts w:cs="標楷體" w:hint="eastAsia"/>
          <w:szCs w:val="28"/>
        </w:rPr>
        <w:t>並且提出關於該用途新藥上市補充申請。而新指引排除該要件，轉而要求</w:t>
      </w:r>
      <w:r>
        <w:rPr>
          <w:rFonts w:cs="標楷體" w:hint="eastAsia"/>
          <w:szCs w:val="28"/>
        </w:rPr>
        <w:t>藥商所提供之文章資訊，該文章之</w:t>
      </w:r>
      <w:r w:rsidRPr="000A3D57">
        <w:rPr>
          <w:rFonts w:cs="標楷體" w:hint="eastAsia"/>
          <w:szCs w:val="28"/>
        </w:rPr>
        <w:t>研究</w:t>
      </w:r>
      <w:r>
        <w:rPr>
          <w:rFonts w:cs="標楷體" w:hint="eastAsia"/>
          <w:szCs w:val="28"/>
        </w:rPr>
        <w:t>基礎</w:t>
      </w:r>
      <w:r w:rsidRPr="000A3D57">
        <w:rPr>
          <w:rFonts w:cs="標楷體" w:hint="eastAsia"/>
          <w:szCs w:val="28"/>
        </w:rPr>
        <w:t>應該提出充足和良好對照的臨床調查。</w:t>
      </w:r>
    </w:p>
    <w:p w:rsidR="00DB326D" w:rsidRDefault="00DB326D" w:rsidP="00DB326D">
      <w:pPr>
        <w:outlineLvl w:val="3"/>
        <w:rPr>
          <w:rFonts w:cs="標楷體"/>
          <w:szCs w:val="28"/>
          <w:lang w:val="de-DE"/>
        </w:rPr>
      </w:pPr>
      <w:r>
        <w:rPr>
          <w:rFonts w:cs="標楷體" w:hint="eastAsia"/>
          <w:szCs w:val="28"/>
          <w:lang w:val="de-DE"/>
        </w:rPr>
        <w:t>（</w:t>
      </w:r>
      <w:r>
        <w:rPr>
          <w:rFonts w:cs="標楷體"/>
          <w:szCs w:val="28"/>
          <w:lang w:val="de-DE"/>
        </w:rPr>
        <w:t>1</w:t>
      </w:r>
      <w:r>
        <w:rPr>
          <w:rFonts w:cs="標楷體" w:hint="eastAsia"/>
          <w:szCs w:val="28"/>
          <w:lang w:val="de-DE"/>
        </w:rPr>
        <w:t>）文章之產生與出版</w:t>
      </w:r>
      <w:r>
        <w:rPr>
          <w:rFonts w:cs="標楷體"/>
          <w:szCs w:val="28"/>
          <w:lang w:val="de-DE"/>
        </w:rPr>
        <w:t xml:space="preserve"> </w:t>
      </w:r>
    </w:p>
    <w:p w:rsidR="00DB326D" w:rsidRDefault="00DB326D" w:rsidP="00DB326D">
      <w:pPr>
        <w:outlineLvl w:val="3"/>
        <w:rPr>
          <w:rFonts w:cs="標楷體"/>
          <w:szCs w:val="28"/>
          <w:lang w:val="de-DE"/>
        </w:rPr>
      </w:pPr>
      <w:r>
        <w:rPr>
          <w:rFonts w:cs="標楷體"/>
          <w:szCs w:val="28"/>
          <w:lang w:val="de-DE"/>
        </w:rPr>
        <w:t xml:space="preserve">    </w:t>
      </w:r>
      <w:r w:rsidRPr="000A3D57">
        <w:rPr>
          <w:rFonts w:cs="標楷體" w:hint="eastAsia"/>
          <w:szCs w:val="28"/>
          <w:lang w:val="de-DE"/>
        </w:rPr>
        <w:t>依據</w:t>
      </w:r>
      <w:r>
        <w:rPr>
          <w:rFonts w:cs="標楷體" w:hint="eastAsia"/>
          <w:szCs w:val="28"/>
          <w:lang w:val="de-DE"/>
        </w:rPr>
        <w:t>新</w:t>
      </w:r>
      <w:r w:rsidRPr="000A3D57">
        <w:rPr>
          <w:rFonts w:cs="標楷體" w:hint="eastAsia"/>
          <w:szCs w:val="28"/>
          <w:lang w:val="de-DE"/>
        </w:rPr>
        <w:t>指引，</w:t>
      </w:r>
      <w:r>
        <w:rPr>
          <w:rFonts w:cs="標楷體" w:hint="eastAsia"/>
          <w:szCs w:val="28"/>
          <w:lang w:val="de-DE"/>
        </w:rPr>
        <w:t>藥商所散布之</w:t>
      </w:r>
      <w:r w:rsidRPr="000A3D57">
        <w:rPr>
          <w:rFonts w:cs="標楷體" w:hint="eastAsia"/>
          <w:szCs w:val="28"/>
          <w:lang w:val="de-DE"/>
        </w:rPr>
        <w:t>科學或醫學期刊文章，</w:t>
      </w:r>
      <w:r>
        <w:rPr>
          <w:rFonts w:cs="標楷體" w:hint="eastAsia"/>
          <w:szCs w:val="28"/>
          <w:lang w:val="de-DE"/>
        </w:rPr>
        <w:t>須</w:t>
      </w:r>
      <w:r w:rsidRPr="000A3D57">
        <w:rPr>
          <w:rFonts w:cs="標楷體" w:hint="eastAsia"/>
          <w:szCs w:val="28"/>
          <w:lang w:val="de-DE"/>
        </w:rPr>
        <w:t>該文章</w:t>
      </w:r>
      <w:r>
        <w:rPr>
          <w:rFonts w:cs="標楷體" w:hint="eastAsia"/>
          <w:szCs w:val="28"/>
          <w:lang w:val="de-DE"/>
        </w:rPr>
        <w:t>已經有</w:t>
      </w:r>
      <w:r w:rsidRPr="000A3D57">
        <w:rPr>
          <w:rFonts w:cs="標楷體" w:hint="eastAsia"/>
          <w:szCs w:val="28"/>
          <w:lang w:val="de-DE"/>
        </w:rPr>
        <w:t>審查制度程序之委員會，由委員會</w:t>
      </w:r>
      <w:r>
        <w:rPr>
          <w:rFonts w:cs="標楷體" w:hint="eastAsia"/>
          <w:szCs w:val="28"/>
          <w:lang w:val="de-DE"/>
        </w:rPr>
        <w:t>依</w:t>
      </w:r>
      <w:r w:rsidRPr="000A3D57">
        <w:rPr>
          <w:rFonts w:cs="標楷體" w:hint="eastAsia"/>
          <w:szCs w:val="28"/>
          <w:lang w:val="de-DE"/>
        </w:rPr>
        <w:t>該文章</w:t>
      </w:r>
      <w:r>
        <w:rPr>
          <w:rFonts w:cs="標楷體" w:hint="eastAsia"/>
          <w:szCs w:val="28"/>
          <w:lang w:val="de-DE"/>
        </w:rPr>
        <w:t>之</w:t>
      </w:r>
      <w:r w:rsidRPr="000A3D57">
        <w:rPr>
          <w:rFonts w:cs="標楷體" w:hint="eastAsia"/>
          <w:szCs w:val="28"/>
          <w:lang w:val="de-DE"/>
        </w:rPr>
        <w:t>主題</w:t>
      </w:r>
      <w:r>
        <w:rPr>
          <w:rFonts w:cs="標楷體" w:hint="eastAsia"/>
          <w:szCs w:val="28"/>
          <w:lang w:val="de-DE"/>
        </w:rPr>
        <w:t>經具</w:t>
      </w:r>
      <w:r w:rsidRPr="000A3D57">
        <w:rPr>
          <w:rFonts w:cs="標楷體" w:hint="eastAsia"/>
          <w:szCs w:val="28"/>
          <w:lang w:val="de-DE"/>
        </w:rPr>
        <w:t>有專門知識之獨立專家進行審查，更進一步，出版的組織必須堅持對於所有編輯、投稿人、作者，任何利益衝突的</w:t>
      </w:r>
      <w:r w:rsidRPr="000A3D57">
        <w:rPr>
          <w:rFonts w:cs="標楷體" w:hint="eastAsia"/>
          <w:szCs w:val="28"/>
          <w:lang w:val="de-DE"/>
        </w:rPr>
        <w:lastRenderedPageBreak/>
        <w:t>完全揭露。此外，</w:t>
      </w:r>
      <w:r>
        <w:rPr>
          <w:rFonts w:cs="標楷體" w:hint="eastAsia"/>
          <w:szCs w:val="28"/>
          <w:lang w:val="de-DE"/>
        </w:rPr>
        <w:t>該</w:t>
      </w:r>
      <w:r w:rsidRPr="000A3D57">
        <w:rPr>
          <w:rFonts w:cs="標楷體" w:hint="eastAsia"/>
          <w:szCs w:val="28"/>
          <w:lang w:val="de-DE"/>
        </w:rPr>
        <w:t>文章不能由</w:t>
      </w:r>
      <w:r>
        <w:rPr>
          <w:rFonts w:cs="標楷體" w:hint="eastAsia"/>
          <w:szCs w:val="28"/>
          <w:lang w:val="de-DE"/>
        </w:rPr>
        <w:t>其</w:t>
      </w:r>
      <w:r w:rsidRPr="000A3D57">
        <w:rPr>
          <w:rFonts w:cs="標楷體" w:hint="eastAsia"/>
          <w:szCs w:val="28"/>
          <w:lang w:val="de-DE"/>
        </w:rPr>
        <w:t>主題所述藥品</w:t>
      </w:r>
      <w:r>
        <w:rPr>
          <w:rFonts w:cs="標楷體" w:hint="eastAsia"/>
          <w:szCs w:val="28"/>
          <w:lang w:val="de-DE"/>
        </w:rPr>
        <w:t>之</w:t>
      </w:r>
      <w:r w:rsidRPr="000A3D57">
        <w:rPr>
          <w:rFonts w:cs="標楷體" w:hint="eastAsia"/>
          <w:szCs w:val="28"/>
          <w:lang w:val="de-DE"/>
        </w:rPr>
        <w:t>藥商贊助</w:t>
      </w:r>
      <w:r>
        <w:rPr>
          <w:rFonts w:cs="標楷體" w:hint="eastAsia"/>
          <w:szCs w:val="28"/>
          <w:lang w:val="de-DE"/>
        </w:rPr>
        <w:t>以</w:t>
      </w:r>
      <w:r w:rsidRPr="000A3D57">
        <w:rPr>
          <w:rFonts w:cs="標楷體" w:hint="eastAsia"/>
          <w:szCs w:val="28"/>
          <w:lang w:val="de-DE"/>
        </w:rPr>
        <w:t>特別出版品或增刊</w:t>
      </w:r>
      <w:r>
        <w:rPr>
          <w:rFonts w:cs="標楷體" w:hint="eastAsia"/>
          <w:szCs w:val="28"/>
          <w:lang w:val="de-DE"/>
        </w:rPr>
        <w:t>方式為之，另該</w:t>
      </w:r>
      <w:r w:rsidRPr="000A3D57">
        <w:rPr>
          <w:rFonts w:cs="標楷體" w:hint="eastAsia"/>
          <w:szCs w:val="28"/>
          <w:lang w:val="de-DE"/>
        </w:rPr>
        <w:t>出版品</w:t>
      </w:r>
      <w:r>
        <w:rPr>
          <w:rFonts w:cs="標楷體" w:hint="eastAsia"/>
          <w:szCs w:val="28"/>
          <w:lang w:val="de-DE"/>
        </w:rPr>
        <w:t>亦</w:t>
      </w:r>
      <w:r w:rsidRPr="000A3D57">
        <w:rPr>
          <w:rFonts w:cs="標楷體" w:hint="eastAsia"/>
          <w:szCs w:val="28"/>
          <w:lang w:val="de-DE"/>
        </w:rPr>
        <w:t>不應主要由藥商發行。相反地，出版品應在一般書店可購買的到或由獨立發行管道</w:t>
      </w:r>
      <w:r>
        <w:rPr>
          <w:rFonts w:cs="標楷體" w:hint="eastAsia"/>
          <w:szCs w:val="28"/>
          <w:lang w:val="de-DE"/>
        </w:rPr>
        <w:t>出版</w:t>
      </w:r>
      <w:r w:rsidRPr="000A3D57">
        <w:rPr>
          <w:rFonts w:cs="標楷體" w:hint="eastAsia"/>
          <w:szCs w:val="28"/>
          <w:lang w:val="de-DE"/>
        </w:rPr>
        <w:t>，</w:t>
      </w:r>
      <w:r>
        <w:rPr>
          <w:rFonts w:cs="標楷體" w:hint="eastAsia"/>
          <w:szCs w:val="28"/>
          <w:lang w:val="de-DE"/>
        </w:rPr>
        <w:t>且</w:t>
      </w:r>
      <w:r w:rsidRPr="000A3D57">
        <w:rPr>
          <w:rFonts w:cs="標楷體" w:hint="eastAsia"/>
          <w:szCs w:val="28"/>
          <w:lang w:val="de-DE"/>
        </w:rPr>
        <w:t>出版品不應由藥商或受藥商重大影響編輯，或個別與藥商有經濟上關係。</w:t>
      </w:r>
    </w:p>
    <w:p w:rsidR="00DB326D" w:rsidRPr="000A3D57" w:rsidRDefault="00DB326D" w:rsidP="00DB326D">
      <w:pPr>
        <w:outlineLvl w:val="3"/>
        <w:rPr>
          <w:szCs w:val="28"/>
          <w:lang w:val="de-DE"/>
        </w:rPr>
      </w:pPr>
      <w:r>
        <w:rPr>
          <w:rFonts w:hint="eastAsia"/>
          <w:szCs w:val="28"/>
          <w:lang w:val="de-DE"/>
        </w:rPr>
        <w:t>（</w:t>
      </w:r>
      <w:r>
        <w:rPr>
          <w:szCs w:val="28"/>
          <w:lang w:val="de-DE"/>
        </w:rPr>
        <w:t>2</w:t>
      </w:r>
      <w:r>
        <w:rPr>
          <w:rFonts w:hint="eastAsia"/>
          <w:szCs w:val="28"/>
          <w:lang w:val="de-DE"/>
        </w:rPr>
        <w:t>）文章之內容</w:t>
      </w:r>
    </w:p>
    <w:p w:rsidR="00DB326D" w:rsidRDefault="00DB326D" w:rsidP="00DB326D">
      <w:pPr>
        <w:outlineLvl w:val="3"/>
        <w:rPr>
          <w:rFonts w:cs="標楷體"/>
          <w:szCs w:val="28"/>
          <w:lang w:val="de-DE"/>
        </w:rPr>
      </w:pPr>
      <w:r>
        <w:rPr>
          <w:rFonts w:cs="標楷體"/>
          <w:szCs w:val="28"/>
          <w:lang w:val="de-DE"/>
        </w:rPr>
        <w:t xml:space="preserve">    </w:t>
      </w:r>
      <w:r w:rsidRPr="000A3D57">
        <w:rPr>
          <w:rFonts w:cs="標楷體" w:hint="eastAsia"/>
          <w:szCs w:val="28"/>
          <w:lang w:val="de-DE"/>
        </w:rPr>
        <w:t>在文章中的資訊必須基於充足與良好控制臨床研究，該研究被具有評估藥品安全性與有效性之專家以科學</w:t>
      </w:r>
      <w:r>
        <w:rPr>
          <w:rFonts w:cs="標楷體" w:hint="eastAsia"/>
          <w:szCs w:val="28"/>
          <w:lang w:val="de-DE"/>
        </w:rPr>
        <w:t>上的知識</w:t>
      </w:r>
      <w:r w:rsidRPr="000A3D57">
        <w:rPr>
          <w:rFonts w:cs="標楷體" w:hint="eastAsia"/>
          <w:szCs w:val="28"/>
          <w:lang w:val="de-DE"/>
        </w:rPr>
        <w:t>考量。在出版品的資訊必須不是虛假或是誤導。例如，如果與</w:t>
      </w:r>
      <w:r>
        <w:rPr>
          <w:rFonts w:cs="標楷體" w:hint="eastAsia"/>
          <w:szCs w:val="28"/>
          <w:lang w:val="de-DE"/>
        </w:rPr>
        <w:t>其他</w:t>
      </w:r>
      <w:r w:rsidRPr="000A3D57">
        <w:rPr>
          <w:rFonts w:cs="標楷體" w:hint="eastAsia"/>
          <w:szCs w:val="28"/>
          <w:lang w:val="de-DE"/>
        </w:rPr>
        <w:t>研究</w:t>
      </w:r>
      <w:r>
        <w:rPr>
          <w:rFonts w:cs="標楷體" w:hint="eastAsia"/>
          <w:szCs w:val="28"/>
          <w:lang w:val="de-DE"/>
        </w:rPr>
        <w:t>相</w:t>
      </w:r>
      <w:r w:rsidRPr="000A3D57">
        <w:rPr>
          <w:rFonts w:cs="標楷體" w:hint="eastAsia"/>
          <w:szCs w:val="28"/>
          <w:lang w:val="de-DE"/>
        </w:rPr>
        <w:t>矛盾</w:t>
      </w:r>
      <w:r>
        <w:rPr>
          <w:rFonts w:cs="標楷體" w:hint="eastAsia"/>
          <w:szCs w:val="28"/>
          <w:lang w:val="de-DE"/>
        </w:rPr>
        <w:t>時，所</w:t>
      </w:r>
      <w:r w:rsidRPr="000A3D57">
        <w:rPr>
          <w:rFonts w:cs="標楷體" w:hint="eastAsia"/>
          <w:szCs w:val="28"/>
          <w:lang w:val="de-DE"/>
        </w:rPr>
        <w:t>散布文章不應被誤</w:t>
      </w:r>
      <w:r>
        <w:rPr>
          <w:rFonts w:cs="標楷體" w:hint="eastAsia"/>
          <w:szCs w:val="28"/>
          <w:lang w:val="de-DE"/>
        </w:rPr>
        <w:t>解權威性研究結果</w:t>
      </w:r>
      <w:r w:rsidRPr="000A3D57">
        <w:rPr>
          <w:rFonts w:cs="標楷體" w:hint="eastAsia"/>
          <w:szCs w:val="28"/>
          <w:lang w:val="de-DE"/>
        </w:rPr>
        <w:t>。此外</w:t>
      </w:r>
      <w:r>
        <w:rPr>
          <w:rFonts w:cs="標楷體" w:hint="eastAsia"/>
          <w:szCs w:val="28"/>
          <w:lang w:val="de-DE"/>
        </w:rPr>
        <w:t>，</w:t>
      </w:r>
      <w:r w:rsidRPr="000A3D57">
        <w:rPr>
          <w:rFonts w:cs="標楷體" w:hint="eastAsia"/>
          <w:szCs w:val="28"/>
          <w:lang w:val="de-DE"/>
        </w:rPr>
        <w:t>該出版物不應</w:t>
      </w:r>
      <w:r>
        <w:rPr>
          <w:rFonts w:cs="標楷體" w:hint="eastAsia"/>
          <w:szCs w:val="28"/>
          <w:lang w:val="de-DE"/>
        </w:rPr>
        <w:t>被</w:t>
      </w:r>
      <w:r w:rsidRPr="000A3D57">
        <w:rPr>
          <w:rFonts w:cs="標楷體" w:hint="eastAsia"/>
          <w:szCs w:val="28"/>
          <w:lang w:val="de-DE"/>
        </w:rPr>
        <w:t>期刊撤回或被作者</w:t>
      </w:r>
      <w:r>
        <w:rPr>
          <w:rFonts w:cs="標楷體" w:hint="eastAsia"/>
          <w:szCs w:val="28"/>
          <w:lang w:val="de-DE"/>
        </w:rPr>
        <w:t>撤回；</w:t>
      </w:r>
      <w:r w:rsidRPr="000A3D57">
        <w:rPr>
          <w:rFonts w:cs="標楷體" w:hint="eastAsia"/>
          <w:szCs w:val="28"/>
          <w:lang w:val="de-DE"/>
        </w:rPr>
        <w:t>該臨床研究的討論不能被</w:t>
      </w:r>
      <w:r w:rsidRPr="000A3D57">
        <w:rPr>
          <w:rFonts w:cs="標楷體"/>
          <w:szCs w:val="28"/>
          <w:lang w:val="de-DE"/>
        </w:rPr>
        <w:t>FDA</w:t>
      </w:r>
      <w:r w:rsidRPr="000A3D57">
        <w:rPr>
          <w:rFonts w:cs="標楷體" w:hint="eastAsia"/>
          <w:szCs w:val="28"/>
          <w:lang w:val="de-DE"/>
        </w:rPr>
        <w:t>認為不充足或非良好控制。</w:t>
      </w:r>
    </w:p>
    <w:p w:rsidR="00DB326D" w:rsidRPr="000A3D57" w:rsidRDefault="00DB326D" w:rsidP="00DB326D">
      <w:pPr>
        <w:outlineLvl w:val="3"/>
        <w:rPr>
          <w:szCs w:val="28"/>
          <w:lang w:val="de-DE"/>
        </w:rPr>
      </w:pPr>
      <w:r>
        <w:rPr>
          <w:rFonts w:cs="標楷體" w:hint="eastAsia"/>
          <w:szCs w:val="28"/>
          <w:lang w:val="de-DE"/>
        </w:rPr>
        <w:t>（</w:t>
      </w:r>
      <w:r>
        <w:rPr>
          <w:rFonts w:cs="標楷體"/>
          <w:szCs w:val="28"/>
          <w:lang w:val="de-DE"/>
        </w:rPr>
        <w:t>3</w:t>
      </w:r>
      <w:r>
        <w:rPr>
          <w:rFonts w:cs="標楷體" w:hint="eastAsia"/>
          <w:szCs w:val="28"/>
          <w:lang w:val="de-DE"/>
        </w:rPr>
        <w:t>）文章之形式</w:t>
      </w:r>
      <w:r>
        <w:rPr>
          <w:rFonts w:cs="標楷體"/>
          <w:szCs w:val="28"/>
          <w:lang w:val="de-DE"/>
        </w:rPr>
        <w:t xml:space="preserve"> </w:t>
      </w:r>
    </w:p>
    <w:p w:rsidR="00DB326D" w:rsidRDefault="00DB326D" w:rsidP="00DB326D">
      <w:pPr>
        <w:outlineLvl w:val="3"/>
        <w:rPr>
          <w:rFonts w:cs="標楷體"/>
          <w:szCs w:val="28"/>
          <w:lang w:val="de-DE"/>
        </w:rPr>
      </w:pPr>
      <w:r>
        <w:rPr>
          <w:rFonts w:cs="標楷體"/>
          <w:szCs w:val="28"/>
          <w:lang w:val="de-DE"/>
        </w:rPr>
        <w:t xml:space="preserve">    </w:t>
      </w:r>
      <w:r w:rsidRPr="000A3D57">
        <w:rPr>
          <w:rFonts w:cs="標楷體" w:hint="eastAsia"/>
          <w:szCs w:val="28"/>
          <w:lang w:val="de-DE"/>
        </w:rPr>
        <w:t>散布</w:t>
      </w:r>
      <w:r>
        <w:rPr>
          <w:rFonts w:cs="標楷體" w:hint="eastAsia"/>
          <w:szCs w:val="28"/>
          <w:lang w:val="de-DE"/>
        </w:rPr>
        <w:t>仿單</w:t>
      </w:r>
      <w:r w:rsidRPr="000A3D57">
        <w:rPr>
          <w:rFonts w:cs="標楷體" w:hint="eastAsia"/>
          <w:szCs w:val="28"/>
          <w:lang w:val="de-DE"/>
        </w:rPr>
        <w:t>外使用的文章必須是完整複印本且</w:t>
      </w:r>
      <w:r>
        <w:rPr>
          <w:rFonts w:cs="標楷體" w:hint="eastAsia"/>
          <w:szCs w:val="28"/>
          <w:lang w:val="de-DE"/>
        </w:rPr>
        <w:t>非</w:t>
      </w:r>
      <w:r w:rsidRPr="000A3D57">
        <w:rPr>
          <w:rFonts w:cs="標楷體" w:hint="eastAsia"/>
          <w:szCs w:val="28"/>
          <w:lang w:val="de-DE"/>
        </w:rPr>
        <w:t>由藥商以任何方式特別註明、強調、總結。如果當時關於</w:t>
      </w:r>
      <w:r>
        <w:rPr>
          <w:rFonts w:cs="標楷體" w:hint="eastAsia"/>
          <w:szCs w:val="28"/>
          <w:lang w:val="de-DE"/>
        </w:rPr>
        <w:t>仿單</w:t>
      </w:r>
      <w:r w:rsidRPr="000A3D57">
        <w:rPr>
          <w:rFonts w:cs="標楷體" w:hint="eastAsia"/>
          <w:szCs w:val="28"/>
          <w:lang w:val="de-DE"/>
        </w:rPr>
        <w:t>外使用研究有達成相反結論的出版物資訊存在者</w:t>
      </w:r>
      <w:r>
        <w:rPr>
          <w:rFonts w:cs="標楷體" w:hint="eastAsia"/>
          <w:szCs w:val="28"/>
          <w:lang w:val="de-DE"/>
        </w:rPr>
        <w:t>，</w:t>
      </w:r>
      <w:r w:rsidRPr="000A3D57">
        <w:rPr>
          <w:rFonts w:cs="標楷體" w:hint="eastAsia"/>
          <w:szCs w:val="28"/>
          <w:lang w:val="de-DE"/>
        </w:rPr>
        <w:t>亦應一併散布。</w:t>
      </w:r>
    </w:p>
    <w:p w:rsidR="00DB326D" w:rsidRDefault="00DB326D" w:rsidP="00DB326D">
      <w:pPr>
        <w:outlineLvl w:val="3"/>
        <w:rPr>
          <w:rFonts w:cs="標楷體"/>
          <w:szCs w:val="28"/>
          <w:lang w:val="de-DE"/>
        </w:rPr>
      </w:pPr>
      <w:r>
        <w:rPr>
          <w:rFonts w:cs="標楷體" w:hint="eastAsia"/>
          <w:szCs w:val="28"/>
          <w:lang w:val="de-DE"/>
        </w:rPr>
        <w:t>（</w:t>
      </w:r>
      <w:r>
        <w:rPr>
          <w:rFonts w:cs="標楷體"/>
          <w:szCs w:val="28"/>
          <w:lang w:val="de-DE"/>
        </w:rPr>
        <w:t>4</w:t>
      </w:r>
      <w:r>
        <w:rPr>
          <w:rFonts w:cs="標楷體" w:hint="eastAsia"/>
          <w:szCs w:val="28"/>
          <w:lang w:val="de-DE"/>
        </w:rPr>
        <w:t>）文章散布方式與回應</w:t>
      </w:r>
    </w:p>
    <w:p w:rsidR="00DB326D" w:rsidRPr="000A3D57" w:rsidRDefault="00DB326D" w:rsidP="00DB326D">
      <w:pPr>
        <w:outlineLvl w:val="3"/>
        <w:rPr>
          <w:szCs w:val="28"/>
          <w:lang w:val="de-DE"/>
        </w:rPr>
      </w:pPr>
      <w:r>
        <w:rPr>
          <w:rFonts w:cs="標楷體"/>
          <w:szCs w:val="28"/>
          <w:lang w:val="de-DE"/>
        </w:rPr>
        <w:t xml:space="preserve">    </w:t>
      </w:r>
      <w:r>
        <w:rPr>
          <w:rFonts w:cs="標楷體" w:hint="eastAsia"/>
          <w:szCs w:val="28"/>
          <w:lang w:val="de-DE"/>
        </w:rPr>
        <w:t>仿單</w:t>
      </w:r>
      <w:r w:rsidRPr="000A3D57">
        <w:rPr>
          <w:rFonts w:cs="標楷體" w:hint="eastAsia"/>
          <w:szCs w:val="28"/>
          <w:lang w:val="de-DE"/>
        </w:rPr>
        <w:t>外使用文章的散布必須從任何促銷資訊中分離</w:t>
      </w:r>
      <w:r>
        <w:rPr>
          <w:rFonts w:cs="標楷體" w:hint="eastAsia"/>
          <w:szCs w:val="28"/>
          <w:lang w:val="de-DE"/>
        </w:rPr>
        <w:t>，</w:t>
      </w:r>
      <w:r w:rsidRPr="000A3D57">
        <w:rPr>
          <w:rFonts w:cs="標楷體" w:hint="eastAsia"/>
          <w:szCs w:val="28"/>
          <w:lang w:val="de-DE"/>
        </w:rPr>
        <w:t>並且不能在銷售人員拜訪時由銷售人員討論。</w:t>
      </w:r>
      <w:r>
        <w:rPr>
          <w:rFonts w:cs="標楷體" w:hint="eastAsia"/>
          <w:szCs w:val="28"/>
          <w:lang w:val="de-DE"/>
        </w:rPr>
        <w:t>仿單</w:t>
      </w:r>
      <w:r w:rsidRPr="000A3D57">
        <w:rPr>
          <w:rFonts w:cs="標楷體" w:hint="eastAsia"/>
          <w:szCs w:val="28"/>
          <w:lang w:val="de-DE"/>
        </w:rPr>
        <w:t>外使用的資訊接</w:t>
      </w:r>
      <w:r>
        <w:rPr>
          <w:rFonts w:cs="標楷體" w:hint="eastAsia"/>
          <w:szCs w:val="28"/>
          <w:lang w:val="de-DE"/>
        </w:rPr>
        <w:t>收</w:t>
      </w:r>
      <w:r w:rsidRPr="000A3D57">
        <w:rPr>
          <w:rFonts w:cs="標楷體" w:hint="eastAsia"/>
          <w:szCs w:val="28"/>
          <w:lang w:val="de-DE"/>
        </w:rPr>
        <w:t>者有疑問</w:t>
      </w:r>
      <w:r>
        <w:rPr>
          <w:rFonts w:cs="標楷體" w:hint="eastAsia"/>
          <w:szCs w:val="28"/>
          <w:lang w:val="de-DE"/>
        </w:rPr>
        <w:t>時</w:t>
      </w:r>
      <w:r w:rsidRPr="000A3D57">
        <w:rPr>
          <w:rFonts w:cs="標楷體" w:hint="eastAsia"/>
          <w:szCs w:val="28"/>
          <w:lang w:val="de-DE"/>
        </w:rPr>
        <w:t>，銷售人員應該把這疑問交給</w:t>
      </w:r>
      <w:r>
        <w:rPr>
          <w:rFonts w:cs="標楷體" w:hint="eastAsia"/>
          <w:szCs w:val="28"/>
          <w:lang w:val="de-DE"/>
        </w:rPr>
        <w:t>藥商</w:t>
      </w:r>
      <w:r w:rsidRPr="000A3D57">
        <w:rPr>
          <w:rFonts w:cs="標楷體" w:hint="eastAsia"/>
          <w:szCs w:val="28"/>
          <w:lang w:val="de-DE"/>
        </w:rPr>
        <w:t>醫療與科學部門</w:t>
      </w:r>
      <w:r>
        <w:rPr>
          <w:rFonts w:cs="標楷體" w:hint="eastAsia"/>
          <w:szCs w:val="28"/>
          <w:lang w:val="de-DE"/>
        </w:rPr>
        <w:t>回應</w:t>
      </w:r>
      <w:r w:rsidRPr="000A3D57">
        <w:rPr>
          <w:rFonts w:cs="標楷體" w:hint="eastAsia"/>
          <w:szCs w:val="28"/>
          <w:lang w:val="de-DE"/>
        </w:rPr>
        <w:t>，不是由銷售部門</w:t>
      </w:r>
      <w:r>
        <w:rPr>
          <w:rFonts w:cs="標楷體" w:hint="eastAsia"/>
          <w:szCs w:val="28"/>
          <w:lang w:val="de-DE"/>
        </w:rPr>
        <w:t>之人員與醫師討論</w:t>
      </w:r>
      <w:r w:rsidRPr="000A3D57">
        <w:rPr>
          <w:rFonts w:cs="標楷體" w:hint="eastAsia"/>
          <w:szCs w:val="28"/>
          <w:lang w:val="de-DE"/>
        </w:rPr>
        <w:t>。這散布出版品必須伴隨顯著聲明：</w:t>
      </w:r>
      <w:r>
        <w:rPr>
          <w:rFonts w:cs="標楷體"/>
          <w:szCs w:val="28"/>
          <w:lang w:val="de-DE"/>
        </w:rPr>
        <w:t>A</w:t>
      </w:r>
      <w:r>
        <w:rPr>
          <w:rFonts w:cs="標楷體" w:hint="eastAsia"/>
          <w:szCs w:val="28"/>
          <w:lang w:val="de-DE"/>
        </w:rPr>
        <w:t>、</w:t>
      </w:r>
      <w:r w:rsidRPr="000A3D57">
        <w:rPr>
          <w:rFonts w:cs="標楷體" w:hint="eastAsia"/>
          <w:szCs w:val="28"/>
          <w:lang w:val="de-DE"/>
        </w:rPr>
        <w:t>在文章中所描述</w:t>
      </w:r>
      <w:r>
        <w:rPr>
          <w:rFonts w:cs="標楷體" w:hint="eastAsia"/>
          <w:szCs w:val="28"/>
          <w:lang w:val="de-DE"/>
        </w:rPr>
        <w:t>仿單</w:t>
      </w:r>
      <w:r w:rsidRPr="000A3D57">
        <w:rPr>
          <w:rFonts w:cs="標楷體" w:hint="eastAsia"/>
          <w:szCs w:val="28"/>
          <w:lang w:val="de-DE"/>
        </w:rPr>
        <w:t>外使用尚未被</w:t>
      </w:r>
      <w:r w:rsidRPr="000A3D57">
        <w:rPr>
          <w:rFonts w:cs="標楷體"/>
          <w:szCs w:val="28"/>
          <w:lang w:val="de-DE"/>
        </w:rPr>
        <w:t>FDA</w:t>
      </w:r>
      <w:r w:rsidRPr="000A3D57">
        <w:rPr>
          <w:rFonts w:cs="標楷體" w:hint="eastAsia"/>
          <w:szCs w:val="28"/>
          <w:lang w:val="de-DE"/>
        </w:rPr>
        <w:t>核准</w:t>
      </w:r>
      <w:r>
        <w:rPr>
          <w:rFonts w:cs="標楷體" w:hint="eastAsia"/>
          <w:szCs w:val="28"/>
          <w:lang w:val="de-DE"/>
        </w:rPr>
        <w:t>；</w:t>
      </w:r>
      <w:r>
        <w:rPr>
          <w:rFonts w:cs="標楷體"/>
          <w:szCs w:val="28"/>
          <w:lang w:val="de-DE"/>
        </w:rPr>
        <w:t>B</w:t>
      </w:r>
      <w:r>
        <w:rPr>
          <w:rFonts w:cs="標楷體" w:hint="eastAsia"/>
          <w:szCs w:val="28"/>
          <w:lang w:val="de-DE"/>
        </w:rPr>
        <w:t>、</w:t>
      </w:r>
      <w:r w:rsidRPr="000A3D57">
        <w:rPr>
          <w:rFonts w:cs="標楷體" w:hint="eastAsia"/>
          <w:szCs w:val="28"/>
          <w:lang w:val="de-DE"/>
        </w:rPr>
        <w:t>藥商在這藥</w:t>
      </w:r>
      <w:r>
        <w:rPr>
          <w:rFonts w:cs="標楷體" w:hint="eastAsia"/>
          <w:szCs w:val="28"/>
          <w:lang w:val="de-DE"/>
        </w:rPr>
        <w:t>品</w:t>
      </w:r>
      <w:r w:rsidRPr="000A3D57">
        <w:rPr>
          <w:rFonts w:cs="標楷體" w:hint="eastAsia"/>
          <w:szCs w:val="28"/>
          <w:lang w:val="de-DE"/>
        </w:rPr>
        <w:t>的利益</w:t>
      </w:r>
      <w:r>
        <w:rPr>
          <w:rFonts w:cs="標楷體" w:hint="eastAsia"/>
          <w:szCs w:val="28"/>
          <w:lang w:val="de-DE"/>
        </w:rPr>
        <w:t>；</w:t>
      </w:r>
      <w:r>
        <w:rPr>
          <w:rFonts w:cs="標楷體"/>
          <w:szCs w:val="28"/>
          <w:lang w:val="de-DE"/>
        </w:rPr>
        <w:t>C</w:t>
      </w:r>
      <w:r>
        <w:rPr>
          <w:rFonts w:cs="標楷體" w:hint="eastAsia"/>
          <w:szCs w:val="28"/>
          <w:lang w:val="de-DE"/>
        </w:rPr>
        <w:t>、</w:t>
      </w:r>
      <w:r w:rsidRPr="000A3D57">
        <w:rPr>
          <w:rFonts w:cs="標楷體" w:hint="eastAsia"/>
          <w:szCs w:val="28"/>
          <w:lang w:val="de-DE"/>
        </w:rPr>
        <w:t>是否作者在此藥品有</w:t>
      </w:r>
      <w:r>
        <w:rPr>
          <w:rFonts w:cs="標楷體" w:hint="eastAsia"/>
          <w:szCs w:val="28"/>
          <w:lang w:val="de-DE"/>
        </w:rPr>
        <w:t>任何</w:t>
      </w:r>
      <w:r w:rsidRPr="000A3D57">
        <w:rPr>
          <w:rFonts w:cs="標楷體" w:hint="eastAsia"/>
          <w:szCs w:val="28"/>
          <w:lang w:val="de-DE"/>
        </w:rPr>
        <w:t>經濟上利益或接受來自藥商的報償</w:t>
      </w:r>
      <w:r>
        <w:rPr>
          <w:rFonts w:cs="標楷體" w:hint="eastAsia"/>
          <w:szCs w:val="28"/>
          <w:lang w:val="de-DE"/>
        </w:rPr>
        <w:t>；</w:t>
      </w:r>
      <w:r>
        <w:rPr>
          <w:rFonts w:cs="標楷體"/>
          <w:szCs w:val="28"/>
          <w:lang w:val="de-DE"/>
        </w:rPr>
        <w:t>D</w:t>
      </w:r>
      <w:r>
        <w:rPr>
          <w:rFonts w:cs="標楷體" w:hint="eastAsia"/>
          <w:szCs w:val="28"/>
          <w:lang w:val="de-DE"/>
        </w:rPr>
        <w:t>、</w:t>
      </w:r>
      <w:r w:rsidRPr="000A3D57">
        <w:rPr>
          <w:rFonts w:cs="標楷體" w:hint="eastAsia"/>
          <w:szCs w:val="28"/>
          <w:lang w:val="de-DE"/>
        </w:rPr>
        <w:t>對於該研究誰提供資助</w:t>
      </w:r>
      <w:r>
        <w:rPr>
          <w:rFonts w:cs="標楷體" w:hint="eastAsia"/>
          <w:szCs w:val="28"/>
          <w:lang w:val="de-DE"/>
        </w:rPr>
        <w:t>；</w:t>
      </w:r>
      <w:r>
        <w:rPr>
          <w:rFonts w:cs="標楷體"/>
          <w:szCs w:val="28"/>
          <w:lang w:val="de-DE"/>
        </w:rPr>
        <w:t>E</w:t>
      </w:r>
      <w:r>
        <w:rPr>
          <w:rFonts w:cs="標楷體" w:hint="eastAsia"/>
          <w:szCs w:val="28"/>
          <w:lang w:val="de-DE"/>
        </w:rPr>
        <w:t>、</w:t>
      </w:r>
      <w:r w:rsidRPr="000A3D57">
        <w:rPr>
          <w:rFonts w:cs="標楷體" w:hint="eastAsia"/>
          <w:szCs w:val="28"/>
          <w:lang w:val="de-DE"/>
        </w:rPr>
        <w:t>對於藥商任何已知重大風險與安全性，但在出版品並未揭露。</w:t>
      </w:r>
    </w:p>
    <w:p w:rsidR="00DB326D" w:rsidRDefault="00DB326D" w:rsidP="00DB326D">
      <w:pPr>
        <w:outlineLvl w:val="3"/>
        <w:rPr>
          <w:rFonts w:cs="標楷體"/>
          <w:szCs w:val="28"/>
          <w:lang w:val="de-DE"/>
        </w:rPr>
      </w:pPr>
      <w:r>
        <w:rPr>
          <w:szCs w:val="28"/>
          <w:lang w:val="de-DE"/>
        </w:rPr>
        <w:t>2</w:t>
      </w:r>
      <w:r>
        <w:rPr>
          <w:rFonts w:hint="eastAsia"/>
          <w:szCs w:val="28"/>
          <w:lang w:val="de-DE"/>
        </w:rPr>
        <w:t>、在散布前，</w:t>
      </w:r>
      <w:r w:rsidRPr="000A3D57">
        <w:rPr>
          <w:rFonts w:cs="標楷體" w:hint="eastAsia"/>
          <w:szCs w:val="28"/>
          <w:lang w:val="de-DE"/>
        </w:rPr>
        <w:t>藥商不須提交</w:t>
      </w:r>
      <w:r>
        <w:rPr>
          <w:rFonts w:cs="標楷體" w:hint="eastAsia"/>
          <w:szCs w:val="28"/>
          <w:lang w:val="de-DE"/>
        </w:rPr>
        <w:t>醫學期刊</w:t>
      </w:r>
      <w:r w:rsidRPr="000A3D57">
        <w:rPr>
          <w:rFonts w:cs="標楷體" w:hint="eastAsia"/>
          <w:szCs w:val="28"/>
          <w:lang w:val="de-DE"/>
        </w:rPr>
        <w:t>複印本給</w:t>
      </w:r>
      <w:r w:rsidRPr="000A3D57">
        <w:rPr>
          <w:rFonts w:cs="標楷體"/>
          <w:szCs w:val="28"/>
          <w:lang w:val="de-DE"/>
        </w:rPr>
        <w:t>FDA</w:t>
      </w:r>
      <w:r w:rsidRPr="000A3D57">
        <w:rPr>
          <w:rFonts w:cs="標楷體" w:hint="eastAsia"/>
          <w:szCs w:val="28"/>
          <w:lang w:val="de-DE"/>
        </w:rPr>
        <w:t>事前核准</w:t>
      </w:r>
      <w:r>
        <w:rPr>
          <w:rFonts w:cs="標楷體" w:hint="eastAsia"/>
          <w:szCs w:val="28"/>
          <w:lang w:val="de-DE"/>
        </w:rPr>
        <w:t>。</w:t>
      </w:r>
    </w:p>
    <w:p w:rsidR="00DB326D" w:rsidRDefault="00DB326D" w:rsidP="00DB326D">
      <w:pPr>
        <w:widowControl/>
        <w:spacing w:before="100" w:beforeAutospacing="1" w:after="100" w:afterAutospacing="1"/>
        <w:rPr>
          <w:rFonts w:hAnsi="標楷體" w:cs="標楷體"/>
          <w:szCs w:val="28"/>
        </w:rPr>
      </w:pPr>
      <w:r>
        <w:rPr>
          <w:rFonts w:cs="標楷體"/>
          <w:szCs w:val="28"/>
          <w:lang w:val="de-DE"/>
        </w:rPr>
        <w:t xml:space="preserve">    </w:t>
      </w:r>
      <w:r>
        <w:rPr>
          <w:rFonts w:cs="標楷體" w:hint="eastAsia"/>
          <w:szCs w:val="28"/>
          <w:lang w:val="de-DE"/>
        </w:rPr>
        <w:t>新指引的公布引發</w:t>
      </w:r>
      <w:r>
        <w:rPr>
          <w:rFonts w:cs="標楷體"/>
          <w:szCs w:val="28"/>
          <w:lang w:val="de-DE"/>
        </w:rPr>
        <w:t>FDA</w:t>
      </w:r>
      <w:r>
        <w:rPr>
          <w:rFonts w:cs="標楷體" w:hint="eastAsia"/>
          <w:szCs w:val="28"/>
          <w:lang w:val="de-DE"/>
        </w:rPr>
        <w:t>是否對於藥商仿單外使用資訊交流鬆綁，特別是仿單外使用資訊散布後無庸針對該新用途再申請新藥上市申請補充，將導致</w:t>
      </w:r>
      <w:r w:rsidRPr="009B1D26">
        <w:rPr>
          <w:rFonts w:hAnsi="標楷體" w:cs="標楷體" w:hint="eastAsia"/>
          <w:szCs w:val="28"/>
        </w:rPr>
        <w:t>濫用</w:t>
      </w:r>
      <w:r>
        <w:rPr>
          <w:rFonts w:hAnsi="標楷體" w:cs="標楷體" w:hint="eastAsia"/>
          <w:szCs w:val="28"/>
        </w:rPr>
        <w:t>仿單外使用資訊進行</w:t>
      </w:r>
      <w:r w:rsidRPr="009B1D26">
        <w:rPr>
          <w:rFonts w:hAnsi="標楷體" w:cs="標楷體" w:hint="eastAsia"/>
          <w:szCs w:val="28"/>
        </w:rPr>
        <w:t>行銷，</w:t>
      </w:r>
      <w:r>
        <w:rPr>
          <w:rFonts w:hAnsi="標楷體" w:cs="標楷體" w:hint="eastAsia"/>
          <w:szCs w:val="28"/>
        </w:rPr>
        <w:t>而</w:t>
      </w:r>
      <w:r w:rsidRPr="009B1D26">
        <w:rPr>
          <w:rFonts w:hAnsi="標楷體" w:cs="標楷體" w:hint="eastAsia"/>
          <w:szCs w:val="28"/>
        </w:rPr>
        <w:t>增加</w:t>
      </w:r>
      <w:r>
        <w:rPr>
          <w:rFonts w:hAnsi="標楷體" w:cs="標楷體" w:hint="eastAsia"/>
          <w:szCs w:val="28"/>
        </w:rPr>
        <w:t>藥品仿單</w:t>
      </w:r>
      <w:r w:rsidRPr="009B1D26">
        <w:rPr>
          <w:rFonts w:hAnsi="標楷體" w:cs="標楷體" w:hint="eastAsia"/>
          <w:szCs w:val="28"/>
        </w:rPr>
        <w:t>外使用，和使大眾易受無效</w:t>
      </w:r>
      <w:r>
        <w:rPr>
          <w:rFonts w:hAnsi="標楷體" w:cs="標楷體" w:hint="eastAsia"/>
          <w:szCs w:val="28"/>
        </w:rPr>
        <w:t>治療</w:t>
      </w:r>
      <w:r w:rsidRPr="009B1D26">
        <w:rPr>
          <w:rFonts w:hAnsi="標楷體" w:cs="標楷體" w:hint="eastAsia"/>
          <w:szCs w:val="28"/>
        </w:rPr>
        <w:t>的風險和藥</w:t>
      </w:r>
      <w:r>
        <w:rPr>
          <w:rFonts w:hAnsi="標楷體" w:cs="標楷體" w:hint="eastAsia"/>
          <w:szCs w:val="28"/>
        </w:rPr>
        <w:t>品仿單</w:t>
      </w:r>
      <w:r w:rsidRPr="009B1D26">
        <w:rPr>
          <w:rFonts w:hAnsi="標楷體" w:cs="標楷體" w:hint="eastAsia"/>
          <w:szCs w:val="28"/>
        </w:rPr>
        <w:t>外使用的危險</w:t>
      </w:r>
      <w:r>
        <w:rPr>
          <w:rFonts w:hAnsi="標楷體" w:cs="標楷體" w:hint="eastAsia"/>
          <w:szCs w:val="28"/>
        </w:rPr>
        <w:t>之批評，但亦有認為</w:t>
      </w:r>
      <w:r w:rsidRPr="009B1D26">
        <w:rPr>
          <w:rFonts w:hAnsi="標楷體" w:cs="標楷體" w:hint="eastAsia"/>
          <w:szCs w:val="28"/>
        </w:rPr>
        <w:t>新的指引是一種合理的妥協，在醫師醫療用藥上的自主權，與藥商在交流</w:t>
      </w:r>
      <w:r>
        <w:rPr>
          <w:rFonts w:hAnsi="標楷體" w:cs="標楷體" w:hint="eastAsia"/>
          <w:szCs w:val="28"/>
        </w:rPr>
        <w:t>仿單</w:t>
      </w:r>
      <w:r w:rsidRPr="009B1D26">
        <w:rPr>
          <w:rFonts w:hAnsi="標楷體" w:cs="標楷體" w:hint="eastAsia"/>
          <w:szCs w:val="28"/>
        </w:rPr>
        <w:t>外使用資訊的權利和</w:t>
      </w:r>
      <w:r w:rsidRPr="009B1D26">
        <w:rPr>
          <w:rFonts w:cs="標楷體"/>
          <w:szCs w:val="28"/>
        </w:rPr>
        <w:t>FDA</w:t>
      </w:r>
      <w:r w:rsidRPr="009B1D26">
        <w:rPr>
          <w:rFonts w:hAnsi="標楷體" w:cs="標楷體" w:hint="eastAsia"/>
          <w:szCs w:val="28"/>
        </w:rPr>
        <w:t>去保護大眾健康的任務間尋求平衡</w:t>
      </w:r>
      <w:r>
        <w:rPr>
          <w:rStyle w:val="ac"/>
          <w:rFonts w:hAnsi="標楷體" w:cs="標楷體"/>
          <w:szCs w:val="28"/>
        </w:rPr>
        <w:footnoteReference w:id="32"/>
      </w:r>
      <w:r w:rsidRPr="009B1D26">
        <w:rPr>
          <w:rFonts w:hAnsi="標楷體" w:cs="標楷體" w:hint="eastAsia"/>
          <w:szCs w:val="28"/>
        </w:rPr>
        <w:t>。</w:t>
      </w:r>
    </w:p>
    <w:p w:rsidR="00DB326D" w:rsidRDefault="00DB326D" w:rsidP="00DB326D">
      <w:pPr>
        <w:widowControl/>
        <w:spacing w:before="100" w:beforeAutospacing="1" w:after="100" w:afterAutospacing="1"/>
        <w:ind w:left="240" w:hangingChars="100" w:hanging="240"/>
      </w:pPr>
      <w:r>
        <w:rPr>
          <w:rFonts w:hint="eastAsia"/>
        </w:rPr>
        <w:t>（二）商品責任之管制─疏於警告</w:t>
      </w:r>
    </w:p>
    <w:p w:rsidR="00DB326D" w:rsidRPr="009F31D3" w:rsidRDefault="00DB326D" w:rsidP="00DB326D">
      <w:pPr>
        <w:widowControl/>
        <w:spacing w:before="100" w:beforeAutospacing="1" w:after="100" w:afterAutospacing="1" w:line="240" w:lineRule="atLeast"/>
        <w:ind w:leftChars="-159" w:hangingChars="159" w:hanging="382"/>
      </w:pPr>
      <w:r>
        <w:t xml:space="preserve">        </w:t>
      </w:r>
      <w:r>
        <w:rPr>
          <w:rFonts w:hint="eastAsia"/>
        </w:rPr>
        <w:t>藥商做為藥物之製造商自然對於藥物有產品責任，但由於藥品之性質有異其他供消費之商品，藥品本身存在高度風險，且經常因人而異，故通常藥商對於藥品所應之責任為安全性之警告標示有疏忽，而此警告是指藥品製造商對通過</w:t>
      </w:r>
      <w:r>
        <w:t xml:space="preserve"> </w:t>
      </w:r>
      <w:r>
        <w:rPr>
          <w:rFonts w:hint="eastAsia"/>
        </w:rPr>
        <w:t>核准過程中已知風險疏未標示、或有錯誤，或有虛假標示情形。雖然在藥品行銷</w:t>
      </w:r>
      <w:r>
        <w:rPr>
          <w:rFonts w:hint="eastAsia"/>
        </w:rPr>
        <w:lastRenderedPageBreak/>
        <w:t>時會向醫師提及仿單外使用之資訊，但對處方藥在仿單外使用造成損害之情形，但往往藥品製造者會主張他們沒辦法預見他們的產品會被使用在未核准的適應症，因此不應有疏於警告之商品責任。藥品仿單外使用之疏於警告有所謂專業中介者原則（</w:t>
      </w:r>
      <w:r w:rsidRPr="003B76B2">
        <w:t>learned intermediary</w:t>
      </w:r>
      <w:r>
        <w:rPr>
          <w:rFonts w:hint="eastAsia"/>
        </w:rPr>
        <w:t>）及預見可能性、最近因果關係之問題。亦即，在處方藥時，藥商只要將藥品之資訊及警告傳遞予專業的醫師或專業醫療服務提供者，即無義務直接將藥品所涉及風險告知患者</w:t>
      </w:r>
      <w:r>
        <w:rPr>
          <w:rStyle w:val="ac"/>
        </w:rPr>
        <w:footnoteReference w:id="33"/>
      </w:r>
      <w:r>
        <w:rPr>
          <w:rFonts w:hint="eastAsia"/>
        </w:rPr>
        <w:t>，醫師必須負擔最終用藥責任及告知說明義務，也因為介入了專業醫師之行為，對於損害發生，藥商之行為並非最近原因，亦無法預見專業中介之醫師如何去使用其藥品，而得免除責任。故雖然近年來藥商就其藥品透過報紙、雜誌、電視及網路廣告直接向一般大眾消費者行銷，但對於藥商在仿單外使用之侵權訴訟中，只要藥商已滿足警告專業中介者之義務，他們通常就會贏得消費者所主張疏未警告之訴訟</w:t>
      </w:r>
      <w:r>
        <w:rPr>
          <w:rStyle w:val="ac"/>
        </w:rPr>
        <w:footnoteReference w:id="34"/>
      </w:r>
      <w:r>
        <w:rPr>
          <w:rFonts w:hint="eastAsia"/>
        </w:rPr>
        <w:t>。法院及學者</w:t>
      </w:r>
      <w:r>
        <w:rPr>
          <w:rStyle w:val="ac"/>
        </w:rPr>
        <w:footnoteReference w:id="35"/>
      </w:r>
      <w:r>
        <w:rPr>
          <w:rStyle w:val="ac"/>
        </w:rPr>
        <w:footnoteReference w:id="36"/>
      </w:r>
      <w:r>
        <w:rPr>
          <w:rFonts w:hint="eastAsia"/>
        </w:rPr>
        <w:t>認為藥商可基於專業中介者原則而免於對於處方藥消費者警告之責任植基於：</w:t>
      </w:r>
    </w:p>
    <w:p w:rsidR="00DB326D" w:rsidRPr="00664E56" w:rsidRDefault="00DB326D" w:rsidP="00DB326D">
      <w:pPr>
        <w:widowControl/>
        <w:numPr>
          <w:ilvl w:val="0"/>
          <w:numId w:val="16"/>
        </w:numPr>
        <w:spacing w:before="100" w:beforeAutospacing="1" w:after="100" w:afterAutospacing="1" w:line="240" w:lineRule="atLeast"/>
        <w:rPr>
          <w:rFonts w:ascii="新細明體" w:cs="新細明體"/>
          <w:kern w:val="0"/>
        </w:rPr>
      </w:pPr>
      <w:r>
        <w:rPr>
          <w:rFonts w:hint="eastAsia"/>
        </w:rPr>
        <w:t>關於是否使用該處方藥是醫師做決定而非患者，因此患者對於藥物的使用利</w:t>
      </w:r>
      <w:r w:rsidRPr="00664E56">
        <w:rPr>
          <w:rFonts w:eastAsia="MS Mincho"/>
        </w:rPr>
        <w:t xml:space="preserve">  </w:t>
      </w:r>
      <w:r>
        <w:rPr>
          <w:rFonts w:hint="eastAsia"/>
        </w:rPr>
        <w:t>益與風險的資訊並沒有需要。</w:t>
      </w:r>
      <w:r w:rsidRPr="009D44EC">
        <w:rPr>
          <w:rFonts w:hint="eastAsia"/>
        </w:rPr>
        <w:t>藥品之製造係基於一般適應症之病患所為，並非針對特定患者製成，藥廠僅能在仿單</w:t>
      </w:r>
      <w:r>
        <w:rPr>
          <w:rFonts w:hint="eastAsia"/>
        </w:rPr>
        <w:t>上</w:t>
      </w:r>
      <w:r w:rsidRPr="009D44EC">
        <w:rPr>
          <w:rFonts w:hint="eastAsia"/>
        </w:rPr>
        <w:t>對</w:t>
      </w:r>
      <w:r>
        <w:rPr>
          <w:rFonts w:hint="eastAsia"/>
        </w:rPr>
        <w:t>用</w:t>
      </w:r>
      <w:r w:rsidRPr="009D44EC">
        <w:rPr>
          <w:rFonts w:hint="eastAsia"/>
        </w:rPr>
        <w:t>藥之醫師給予品質、效能、用法、用量等指示與副作用</w:t>
      </w:r>
      <w:r w:rsidRPr="00664E56">
        <w:rPr>
          <w:rFonts w:ascii="細明體" w:hAnsi="細明體" w:cs="細明體" w:hint="eastAsia"/>
          <w:kern w:val="0"/>
        </w:rPr>
        <w:t>之警告，就系爭藥品之正確使用，仍應由醫師診視病患後</w:t>
      </w:r>
      <w:r w:rsidRPr="00664E56">
        <w:rPr>
          <w:rFonts w:ascii="新細明體" w:hAnsi="新細明體" w:cs="新細明體" w:hint="eastAsia"/>
          <w:kern w:val="0"/>
        </w:rPr>
        <w:t>，按其診斷結果及患者具體狀況予以</w:t>
      </w:r>
      <w:r>
        <w:rPr>
          <w:rFonts w:ascii="新細明體" w:hAnsi="新細明體" w:cs="新細明體" w:hint="eastAsia"/>
          <w:kern w:val="0"/>
        </w:rPr>
        <w:t>用</w:t>
      </w:r>
      <w:r w:rsidRPr="00664E56">
        <w:rPr>
          <w:rFonts w:ascii="新細明體" w:hAnsi="新細明體" w:cs="新細明體" w:hint="eastAsia"/>
          <w:kern w:val="0"/>
        </w:rPr>
        <w:t>藥</w:t>
      </w:r>
      <w:r>
        <w:rPr>
          <w:rStyle w:val="ac"/>
          <w:rFonts w:ascii="新細明體" w:cs="新細明體"/>
          <w:kern w:val="0"/>
        </w:rPr>
        <w:footnoteReference w:id="37"/>
      </w:r>
      <w:r w:rsidRPr="00664E56">
        <w:rPr>
          <w:rFonts w:ascii="新細明體" w:hAnsi="新細明體" w:cs="新細明體" w:hint="eastAsia"/>
          <w:kern w:val="0"/>
        </w:rPr>
        <w:t>。</w:t>
      </w:r>
    </w:p>
    <w:p w:rsidR="00DB326D" w:rsidRPr="00664E56" w:rsidRDefault="00DB326D" w:rsidP="00DB326D">
      <w:pPr>
        <w:widowControl/>
        <w:numPr>
          <w:ilvl w:val="0"/>
          <w:numId w:val="16"/>
        </w:numPr>
        <w:spacing w:before="100" w:beforeAutospacing="1" w:after="100" w:afterAutospacing="1" w:line="240" w:lineRule="atLeast"/>
      </w:pPr>
      <w:r>
        <w:rPr>
          <w:rFonts w:hint="eastAsia"/>
        </w:rPr>
        <w:t>醫師對於決定使用何種藥物基於告知後同意原則本有向患者就藥物之風險</w:t>
      </w:r>
      <w:r>
        <w:t xml:space="preserve"> </w:t>
      </w:r>
      <w:r>
        <w:rPr>
          <w:rFonts w:hint="eastAsia"/>
        </w:rPr>
        <w:t>與利益說明之義務，並非藥商之責</w:t>
      </w:r>
      <w:r>
        <w:rPr>
          <w:rStyle w:val="ac"/>
        </w:rPr>
        <w:footnoteReference w:id="38"/>
      </w:r>
      <w:r>
        <w:rPr>
          <w:rFonts w:hint="eastAsia"/>
        </w:rPr>
        <w:t>。醫師就仿單外使用之特殊的治療方式相關風險自應由醫師說明並取得患者同意</w:t>
      </w:r>
      <w:r>
        <w:rPr>
          <w:rStyle w:val="ac"/>
        </w:rPr>
        <w:footnoteReference w:id="39"/>
      </w:r>
      <w:r>
        <w:rPr>
          <w:rFonts w:hint="eastAsia"/>
        </w:rPr>
        <w:t>。</w:t>
      </w:r>
    </w:p>
    <w:p w:rsidR="00DB326D" w:rsidRDefault="00DB326D" w:rsidP="00DB326D">
      <w:pPr>
        <w:widowControl/>
        <w:numPr>
          <w:ilvl w:val="0"/>
          <w:numId w:val="16"/>
        </w:numPr>
        <w:spacing w:before="100" w:beforeAutospacing="1" w:after="100" w:afterAutospacing="1" w:line="240" w:lineRule="atLeast"/>
      </w:pPr>
      <w:r w:rsidRPr="00664E56">
        <w:rPr>
          <w:rFonts w:hint="eastAsia"/>
        </w:rPr>
        <w:t>由</w:t>
      </w:r>
      <w:r>
        <w:rPr>
          <w:rFonts w:hint="eastAsia"/>
        </w:rPr>
        <w:t>藥商告知患者藥物之資訊可能破壞醫病關係，干擾患者用藥。將警告患者最後責任加諸於醫師之上，是維持醫病關係所不可或缺，因為醫師在他們患者治療上做出仿單外使用之個別性決定，醫師處於最佳位置對於他們患者傳達那樣治療的風險與利益，治療決定是植基於圍繞在個別疾病的情況，並且醫師是最瞭解這些情況，醫師透過說明而取得患者同意，方係維持醫病關係和諧模式，倘若透過藥商說明，對於醫師整體治療計劃並非明瞭，且醫師之治療亦非基於患者取得信賴後為之，自然有害於醫病關係。</w:t>
      </w:r>
    </w:p>
    <w:p w:rsidR="00DB326D" w:rsidRPr="004B0FB9" w:rsidRDefault="00DB326D" w:rsidP="00DB326D">
      <w:pPr>
        <w:widowControl/>
        <w:numPr>
          <w:ilvl w:val="0"/>
          <w:numId w:val="16"/>
        </w:numPr>
        <w:spacing w:before="100" w:beforeAutospacing="1" w:after="100" w:afterAutospacing="1" w:line="240" w:lineRule="atLeast"/>
      </w:pPr>
      <w:r w:rsidRPr="004B0FB9">
        <w:rPr>
          <w:rFonts w:hAnsi="新細明體" w:hint="eastAsia"/>
        </w:rPr>
        <w:t>由藥商告知消費者事實上太困難，一般藥品之說明與警示均以產品所內含之仿單或外裝之包裝，將</w:t>
      </w:r>
      <w:r w:rsidRPr="004B0FB9">
        <w:t>FDA</w:t>
      </w:r>
      <w:r w:rsidRPr="004B0FB9">
        <w:rPr>
          <w:rFonts w:hAnsi="新細明體" w:hint="eastAsia"/>
        </w:rPr>
        <w:t>所核准仿單標示記載其中，但基於個別化患者</w:t>
      </w:r>
      <w:r w:rsidRPr="004B0FB9">
        <w:rPr>
          <w:rFonts w:hAnsi="新細明體" w:hint="eastAsia"/>
        </w:rPr>
        <w:lastRenderedPageBreak/>
        <w:t>的感受</w:t>
      </w:r>
      <w:r>
        <w:rPr>
          <w:rFonts w:hAnsi="新細明體" w:hint="eastAsia"/>
        </w:rPr>
        <w:t>差異</w:t>
      </w:r>
      <w:r w:rsidRPr="004B0FB9">
        <w:rPr>
          <w:rFonts w:hAnsi="新細明體" w:hint="eastAsia"/>
        </w:rPr>
        <w:t>，資訊無法有意義僅透過上開仿單標示而傳遞，充其量僅能以客服之方式提供諮詢，自難直接由藥商派駐人員於各個銷售點面對患者直接口頭說明，就成本考量顯然過高</w:t>
      </w:r>
      <w:r>
        <w:rPr>
          <w:rFonts w:hAnsi="新細明體" w:hint="eastAsia"/>
        </w:rPr>
        <w:t>；</w:t>
      </w:r>
      <w:r w:rsidRPr="004B0FB9">
        <w:rPr>
          <w:rFonts w:hAnsi="新細明體" w:hint="eastAsia"/>
        </w:rPr>
        <w:t>況且對於處方藥而言，藥商直接之消費者應該是醫師，而非一般患者，關於藥物相關資訊傳遞對象僅須針對醫師。</w:t>
      </w:r>
    </w:p>
    <w:p w:rsidR="00DB326D" w:rsidRPr="009B1D26" w:rsidRDefault="00DB326D" w:rsidP="00DB326D">
      <w:pPr>
        <w:widowControl/>
        <w:spacing w:before="100" w:beforeAutospacing="1" w:after="100" w:afterAutospacing="1" w:line="240" w:lineRule="atLeast"/>
        <w:ind w:firstLineChars="200" w:firstLine="480"/>
        <w:rPr>
          <w:szCs w:val="28"/>
        </w:rPr>
      </w:pPr>
      <w:r>
        <w:rPr>
          <w:rFonts w:hint="eastAsia"/>
        </w:rPr>
        <w:t>因此，由上開所述，由於專業中介者理論之適用，在美國法上仿單外使用，若依藥商之商品責任中疏於警告為訴因能勝訴之比例很低。當然關於專業中介者理論適用亦有例外情形，最著名是當藥品是疫苗時，在小兒麻痺疫苗所引起的免疫問題時，法院認為醫師無法作出個別醫學判斷因此無法作為專業中介者，認為藥商有義務直接對於一般消費大眾提供警告</w:t>
      </w:r>
      <w:r>
        <w:rPr>
          <w:rStyle w:val="ac"/>
        </w:rPr>
        <w:footnoteReference w:id="40"/>
      </w:r>
      <w:r>
        <w:rPr>
          <w:rFonts w:hint="eastAsia"/>
        </w:rPr>
        <w:t>。至於藥商仿單外使用疏於警告之商品責任另一個重大阻礙則為法律先占理論（</w:t>
      </w:r>
      <w:r>
        <w:t>preemption</w:t>
      </w:r>
      <w:r>
        <w:rPr>
          <w:rFonts w:hint="eastAsia"/>
        </w:rPr>
        <w:t>），其意義在於針對藥商警告標示之責任，由於仿單上之記載既經過聯邦政府所屬機構</w:t>
      </w:r>
      <w:r>
        <w:t>FDA</w:t>
      </w:r>
      <w:r>
        <w:rPr>
          <w:rFonts w:hint="eastAsia"/>
        </w:rPr>
        <w:t>依據聯邦法律</w:t>
      </w:r>
      <w:r>
        <w:t>FDCA</w:t>
      </w:r>
      <w:r>
        <w:rPr>
          <w:rFonts w:hint="eastAsia"/>
        </w:rPr>
        <w:t>授權審查安全性與有效性後而核准，該仿單上所生之仿單外使用疏於警告之商品責任，就此領域聯邦法律具有優位支配性，州之商品責任法對於藥品即無管轄權，藥商形式上即未受各州之商品責任法所拘束</w:t>
      </w:r>
      <w:r>
        <w:rPr>
          <w:rStyle w:val="ac"/>
        </w:rPr>
        <w:footnoteReference w:id="41"/>
      </w:r>
      <w:r>
        <w:rPr>
          <w:rFonts w:hint="eastAsia"/>
        </w:rPr>
        <w:t>。但在</w:t>
      </w:r>
      <w:r>
        <w:t>2009</w:t>
      </w:r>
      <w:r>
        <w:rPr>
          <w:rFonts w:hint="eastAsia"/>
        </w:rPr>
        <w:t>年</w:t>
      </w:r>
      <w:r>
        <w:t>3</w:t>
      </w:r>
      <w:r>
        <w:rPr>
          <w:rFonts w:hint="eastAsia"/>
        </w:rPr>
        <w:t>月</w:t>
      </w:r>
      <w:r>
        <w:t>4</w:t>
      </w:r>
      <w:r>
        <w:rPr>
          <w:rFonts w:hint="eastAsia"/>
        </w:rPr>
        <w:t>日，美國聯邦最高法院在</w:t>
      </w:r>
      <w:r w:rsidRPr="003315D6">
        <w:t xml:space="preserve">Wyeth v. </w:t>
      </w:r>
      <w:r>
        <w:t>Levine</w:t>
      </w:r>
      <w:r>
        <w:rPr>
          <w:rFonts w:hint="eastAsia"/>
        </w:rPr>
        <w:t>案中對於聯邦政府在藥品領域並不當然剝奪州的商品責任法對該藥品的管轄權之見解後</w:t>
      </w:r>
      <w:r>
        <w:rPr>
          <w:rStyle w:val="ac"/>
        </w:rPr>
        <w:footnoteReference w:id="42"/>
      </w:r>
      <w:r>
        <w:rPr>
          <w:rFonts w:hint="eastAsia"/>
        </w:rPr>
        <w:t>，是否會使藥商在仿單外使用之疏於警告之商品責任持續發展，仍有待觀察</w:t>
      </w:r>
      <w:r>
        <w:rPr>
          <w:rStyle w:val="ac"/>
        </w:rPr>
        <w:footnoteReference w:id="43"/>
      </w:r>
      <w:r>
        <w:rPr>
          <w:rFonts w:hint="eastAsia"/>
        </w:rPr>
        <w:t>。</w:t>
      </w:r>
    </w:p>
    <w:p w:rsidR="00DB326D" w:rsidRDefault="00DB326D" w:rsidP="00DB326D">
      <w:pPr>
        <w:widowControl/>
        <w:spacing w:before="100" w:beforeAutospacing="1" w:after="100" w:afterAutospacing="1"/>
        <w:ind w:left="240" w:hangingChars="100" w:hanging="240"/>
      </w:pPr>
      <w:r>
        <w:rPr>
          <w:rFonts w:hint="eastAsia"/>
        </w:rPr>
        <w:t>（三）費用請求之管制─不正請求禁止法（</w:t>
      </w:r>
      <w:r>
        <w:t>False Claims Act</w:t>
      </w:r>
      <w:r>
        <w:rPr>
          <w:rFonts w:hint="eastAsia"/>
        </w:rPr>
        <w:t>，</w:t>
      </w:r>
      <w:r>
        <w:t xml:space="preserve"> </w:t>
      </w:r>
      <w:r w:rsidRPr="0001250F">
        <w:t>FCA</w:t>
      </w:r>
      <w:r>
        <w:rPr>
          <w:rFonts w:hint="eastAsia"/>
        </w:rPr>
        <w:t>）</w:t>
      </w:r>
      <w:r w:rsidRPr="0001250F">
        <w:rPr>
          <w:rFonts w:hint="eastAsia"/>
        </w:rPr>
        <w:t>法案</w:t>
      </w:r>
      <w:r>
        <w:rPr>
          <w:rFonts w:hint="eastAsia"/>
        </w:rPr>
        <w:t>與醫療援助計劃之限制</w:t>
      </w:r>
    </w:p>
    <w:p w:rsidR="00DB326D" w:rsidRPr="00AE1556" w:rsidRDefault="00DB326D" w:rsidP="00DB326D">
      <w:pPr>
        <w:widowControl/>
        <w:spacing w:before="100" w:beforeAutospacing="1" w:after="100" w:afterAutospacing="1"/>
        <w:ind w:left="240" w:hangingChars="100" w:hanging="240"/>
        <w:rPr>
          <w:szCs w:val="28"/>
        </w:rPr>
      </w:pPr>
      <w:r w:rsidRPr="00AE1556">
        <w:rPr>
          <w:szCs w:val="28"/>
        </w:rPr>
        <w:t>1</w:t>
      </w:r>
      <w:r w:rsidRPr="00AE1556">
        <w:rPr>
          <w:rFonts w:hint="eastAsia"/>
          <w:szCs w:val="28"/>
        </w:rPr>
        <w:t>、</w:t>
      </w:r>
      <w:r w:rsidRPr="00AE1556">
        <w:rPr>
          <w:szCs w:val="28"/>
        </w:rPr>
        <w:t>FCA</w:t>
      </w:r>
      <w:r w:rsidRPr="00AE1556">
        <w:rPr>
          <w:rFonts w:hint="eastAsia"/>
          <w:szCs w:val="28"/>
        </w:rPr>
        <w:t>法案之</w:t>
      </w:r>
      <w:r>
        <w:rPr>
          <w:rFonts w:hint="eastAsia"/>
          <w:szCs w:val="28"/>
        </w:rPr>
        <w:t>介紹</w:t>
      </w:r>
    </w:p>
    <w:p w:rsidR="00DB326D" w:rsidRPr="004B0FB9" w:rsidRDefault="00DB326D" w:rsidP="00DB326D">
      <w:pPr>
        <w:tabs>
          <w:tab w:val="left" w:pos="993"/>
        </w:tabs>
      </w:pPr>
      <w:r>
        <w:t xml:space="preserve">    </w:t>
      </w:r>
      <w:r w:rsidRPr="004B0FB9">
        <w:rPr>
          <w:rFonts w:hint="eastAsia"/>
        </w:rPr>
        <w:t>所謂</w:t>
      </w:r>
      <w:r w:rsidRPr="004B0FB9">
        <w:t>FCA</w:t>
      </w:r>
      <w:r w:rsidRPr="004B0FB9">
        <w:rPr>
          <w:rFonts w:hint="eastAsia"/>
        </w:rPr>
        <w:t>法案，中文有稱為虛假申報法，或反欺騙政府法、反不實請求法、詐欺聲明法，日文稱為不正請求禁止法，本文認為本法案名稱除從形式上文義外，另須從法案內容去理解，故本文認為不正請求禁止法應較為妥適，合先敘明。本法又稱為林肯法（</w:t>
      </w:r>
      <w:r w:rsidRPr="004B0FB9">
        <w:rPr>
          <w:bCs/>
        </w:rPr>
        <w:t>Lincoln Law</w:t>
      </w:r>
      <w:r w:rsidRPr="004B0FB9">
        <w:rPr>
          <w:rFonts w:hint="eastAsia"/>
        </w:rPr>
        <w:t>）或密告者法（</w:t>
      </w:r>
      <w:r w:rsidRPr="004B0FB9">
        <w:t>Informer’s Act</w:t>
      </w:r>
      <w:r w:rsidRPr="004B0FB9">
        <w:rPr>
          <w:rFonts w:hint="eastAsia"/>
        </w:rPr>
        <w:t>），是源於美國內戰期間，一些不肖商人販賣摻沙的火藥或無法運輸軍需的眼瞎騾子等等，使聯邦政府認為支付納稅人之稅金給這些商人是受到詐騙而阻礙戰爭，因此於</w:t>
      </w:r>
      <w:r w:rsidRPr="004B0FB9">
        <w:t>1863</w:t>
      </w:r>
      <w:r>
        <w:rPr>
          <w:rFonts w:hint="eastAsia"/>
        </w:rPr>
        <w:t>年</w:t>
      </w:r>
      <w:r w:rsidRPr="004B0FB9">
        <w:rPr>
          <w:rFonts w:hint="eastAsia"/>
        </w:rPr>
        <w:t>訂定本法，對於因詐騙而造成國家財政損失，該法創造任何人可為國家提起訴訟作為公私共分罰款之訴，提起訴訟不用遭受損害，也不須與被告有敵對關係，而依據不正請求禁止法規定原告可獲得被告遭判罰罰金、沒收財產之二分之一及提出訴訟費用等，獎勵給去揭露詐騙行為之人外</w:t>
      </w:r>
      <w:r w:rsidRPr="004B0FB9">
        <w:rPr>
          <w:rStyle w:val="ac"/>
        </w:rPr>
        <w:footnoteReference w:id="44"/>
      </w:r>
      <w:r w:rsidRPr="004B0FB9">
        <w:rPr>
          <w:rFonts w:hint="eastAsia"/>
        </w:rPr>
        <w:t>，亦可做為起訴醫療照護詐欺之刑事</w:t>
      </w:r>
      <w:r w:rsidRPr="004B0FB9">
        <w:rPr>
          <w:rFonts w:hint="eastAsia"/>
        </w:rPr>
        <w:lastRenderedPageBreak/>
        <w:t>責任依據，最高可處五年有期徒刑之監禁及罰金</w:t>
      </w:r>
      <w:r w:rsidRPr="004B0FB9">
        <w:rPr>
          <w:rStyle w:val="ac"/>
        </w:rPr>
        <w:footnoteReference w:id="45"/>
      </w:r>
      <w:r w:rsidRPr="004B0FB9">
        <w:rPr>
          <w:rFonts w:hint="eastAsia"/>
        </w:rPr>
        <w:t>，因此</w:t>
      </w:r>
      <w:r w:rsidRPr="004B0FB9">
        <w:t>FCA</w:t>
      </w:r>
      <w:r w:rsidRPr="004B0FB9">
        <w:rPr>
          <w:rFonts w:hint="eastAsia"/>
        </w:rPr>
        <w:t>法案所涵蓋有民、刑事責任。。</w:t>
      </w:r>
      <w:r w:rsidRPr="004B0FB9">
        <w:t>FCA</w:t>
      </w:r>
      <w:r w:rsidRPr="004B0FB9">
        <w:rPr>
          <w:rFonts w:hint="eastAsia"/>
        </w:rPr>
        <w:t>法案在</w:t>
      </w:r>
      <w:r w:rsidRPr="004B0FB9">
        <w:t xml:space="preserve"> 1943</w:t>
      </w:r>
      <w:r w:rsidRPr="004B0FB9">
        <w:rPr>
          <w:rFonts w:hint="eastAsia"/>
        </w:rPr>
        <w:t>年、</w:t>
      </w:r>
      <w:r w:rsidRPr="004B0FB9">
        <w:t>1986</w:t>
      </w:r>
      <w:r w:rsidRPr="004B0FB9">
        <w:rPr>
          <w:rFonts w:hint="eastAsia"/>
        </w:rPr>
        <w:t>年主要針對原告能獲得報酬的比例從</w:t>
      </w:r>
      <w:r w:rsidRPr="004B0FB9">
        <w:t>10%</w:t>
      </w:r>
      <w:r w:rsidRPr="004B0FB9">
        <w:rPr>
          <w:rFonts w:hint="eastAsia"/>
        </w:rPr>
        <w:t>至</w:t>
      </w:r>
      <w:r w:rsidRPr="004B0FB9">
        <w:t xml:space="preserve"> 25%</w:t>
      </w:r>
      <w:r w:rsidRPr="004B0FB9">
        <w:rPr>
          <w:rFonts w:hint="eastAsia"/>
        </w:rPr>
        <w:t>（視政府有無參與訴訟），提昇至</w:t>
      </w:r>
      <w:r w:rsidRPr="004B0FB9">
        <w:t>15%-20%</w:t>
      </w:r>
      <w:r w:rsidRPr="004B0FB9">
        <w:rPr>
          <w:rFonts w:hint="eastAsia"/>
        </w:rPr>
        <w:t>至</w:t>
      </w:r>
      <w:r w:rsidRPr="004B0FB9">
        <w:t>25%-30%</w:t>
      </w:r>
      <w:r w:rsidRPr="004B0FB9">
        <w:rPr>
          <w:rFonts w:hint="eastAsia"/>
        </w:rPr>
        <w:t>（視政府有無參與訴訟），違反</w:t>
      </w:r>
      <w:r w:rsidRPr="004B0FB9">
        <w:rPr>
          <w:rFonts w:cs="新細明體" w:hint="eastAsia"/>
        </w:rPr>
        <w:t>的罰金從</w:t>
      </w:r>
      <w:r w:rsidRPr="004B0FB9">
        <w:rPr>
          <w:rFonts w:cs="新細明體"/>
        </w:rPr>
        <w:t>2000</w:t>
      </w:r>
      <w:r w:rsidRPr="004B0FB9">
        <w:rPr>
          <w:rFonts w:cs="新細明體" w:hint="eastAsia"/>
        </w:rPr>
        <w:t>元，增加至</w:t>
      </w:r>
      <w:r w:rsidRPr="004B0FB9">
        <w:rPr>
          <w:rFonts w:cs="新細明體"/>
        </w:rPr>
        <w:t>5000</w:t>
      </w:r>
      <w:r w:rsidRPr="004B0FB9">
        <w:rPr>
          <w:rFonts w:cs="新細明體" w:hint="eastAsia"/>
        </w:rPr>
        <w:t>至</w:t>
      </w:r>
      <w:r w:rsidRPr="004B0FB9">
        <w:rPr>
          <w:rFonts w:cs="新細明體"/>
        </w:rPr>
        <w:t>10000</w:t>
      </w:r>
      <w:r w:rsidRPr="004B0FB9">
        <w:rPr>
          <w:rFonts w:cs="新細明體" w:hint="eastAsia"/>
        </w:rPr>
        <w:t>元，再加上三倍損害賠償</w:t>
      </w:r>
      <w:r w:rsidRPr="004B0FB9">
        <w:rPr>
          <w:rFonts w:hint="eastAsia"/>
        </w:rPr>
        <w:t>，</w:t>
      </w:r>
      <w:r w:rsidRPr="004B0FB9">
        <w:rPr>
          <w:rFonts w:cs="新細明體" w:hint="eastAsia"/>
        </w:rPr>
        <w:t>也修改審判權抗辯事由（</w:t>
      </w:r>
      <w:r w:rsidRPr="004B0FB9">
        <w:t>jurisdictional bar</w:t>
      </w:r>
      <w:r w:rsidRPr="004B0FB9">
        <w:rPr>
          <w:rFonts w:cs="新細明體" w:hint="eastAsia"/>
        </w:rPr>
        <w:t>），從不得依賴政府所擁有的證據，變成只有除了他們自己本身是原始消息來源</w:t>
      </w:r>
      <w:r>
        <w:rPr>
          <w:rFonts w:cs="新細明體" w:hint="eastAsia"/>
        </w:rPr>
        <w:t>外，</w:t>
      </w:r>
      <w:r w:rsidRPr="004B0FB9">
        <w:rPr>
          <w:rFonts w:cs="新細明體" w:hint="eastAsia"/>
        </w:rPr>
        <w:t>不得依賴已被公開之基本資訊。也就是原告可以依賴政府已知的資訊但尚未公布於大眾之情形來提出訴訟，放寬起訴門檻與提高報酬的誘因作為打擊詐欺政府資金的工具。在</w:t>
      </w:r>
      <w:r w:rsidRPr="004B0FB9">
        <w:t>1986</w:t>
      </w:r>
      <w:r w:rsidRPr="004B0FB9">
        <w:rPr>
          <w:rFonts w:cs="新細明體" w:hint="eastAsia"/>
        </w:rPr>
        <w:t>年修正案，亦包括提供因為幫助</w:t>
      </w:r>
      <w:r w:rsidRPr="004B0FB9">
        <w:t>FCA</w:t>
      </w:r>
      <w:r w:rsidRPr="004B0FB9">
        <w:rPr>
          <w:rFonts w:cs="新細明體" w:hint="eastAsia"/>
        </w:rPr>
        <w:t>的起訴，保護公益訴訟原告免於雇主的報復之訴因，依</w:t>
      </w:r>
      <w:r w:rsidRPr="004B0FB9">
        <w:t>Title 31 section 3729 U.S.C</w:t>
      </w:r>
      <w:r w:rsidRPr="004B0FB9">
        <w:rPr>
          <w:rFonts w:hint="eastAsia"/>
        </w:rPr>
        <w:t>之規定，</w:t>
      </w:r>
      <w:r w:rsidRPr="004B0FB9">
        <w:rPr>
          <w:rFonts w:cs="新細明體" w:hint="eastAsia"/>
        </w:rPr>
        <w:t>提起</w:t>
      </w:r>
      <w:r w:rsidRPr="004B0FB9">
        <w:t>FCA</w:t>
      </w:r>
      <w:r w:rsidRPr="004B0FB9">
        <w:rPr>
          <w:rFonts w:cs="新細明體" w:hint="eastAsia"/>
        </w:rPr>
        <w:t>訴訟必須證明三大要件：（</w:t>
      </w:r>
      <w:r w:rsidRPr="004B0FB9">
        <w:rPr>
          <w:rFonts w:cs="新細明體"/>
        </w:rPr>
        <w:t>1</w:t>
      </w:r>
      <w:r w:rsidRPr="004B0FB9">
        <w:rPr>
          <w:rFonts w:cs="新細明體" w:hint="eastAsia"/>
        </w:rPr>
        <w:t>）被告必須自己提出或造成第三方向聯邦政府提出支付請求；（</w:t>
      </w:r>
      <w:r w:rsidRPr="004B0FB9">
        <w:rPr>
          <w:rFonts w:cs="新細明體"/>
        </w:rPr>
        <w:t>2</w:t>
      </w:r>
      <w:r w:rsidRPr="004B0FB9">
        <w:rPr>
          <w:rFonts w:cs="新細明體" w:hint="eastAsia"/>
        </w:rPr>
        <w:t>）該請求的資料是虛假或詐騙；（</w:t>
      </w:r>
      <w:r w:rsidRPr="004B0FB9">
        <w:rPr>
          <w:rFonts w:cs="新細明體"/>
        </w:rPr>
        <w:t>3</w:t>
      </w:r>
      <w:r w:rsidRPr="004B0FB9">
        <w:rPr>
          <w:rFonts w:cs="新細明體" w:hint="eastAsia"/>
        </w:rPr>
        <w:t>）當提出請求時被告必須知悉該行為</w:t>
      </w:r>
      <w:r>
        <w:rPr>
          <w:rFonts w:cs="新細明體" w:hint="eastAsia"/>
        </w:rPr>
        <w:t>是虛假</w:t>
      </w:r>
      <w:r w:rsidRPr="004B0FB9">
        <w:rPr>
          <w:rFonts w:cs="新細明體" w:hint="eastAsia"/>
        </w:rPr>
        <w:t>。就所謂請求（</w:t>
      </w:r>
      <w:r w:rsidRPr="004B0FB9">
        <w:rPr>
          <w:rFonts w:cs="新細明體"/>
        </w:rPr>
        <w:t>Claims</w:t>
      </w:r>
      <w:r w:rsidRPr="004B0FB9">
        <w:rPr>
          <w:rFonts w:cs="新細明體" w:hint="eastAsia"/>
        </w:rPr>
        <w:t>）對象在</w:t>
      </w:r>
      <w:r w:rsidRPr="004B0FB9">
        <w:t>1986</w:t>
      </w:r>
      <w:r w:rsidRPr="004B0FB9">
        <w:rPr>
          <w:rFonts w:cs="新細明體" w:hint="eastAsia"/>
        </w:rPr>
        <w:t>年修正案後，從目的是為了聯邦政府的金錢或財產支付之情形，亦即政府直接被詐騙，擴張到亦包括政府資助任何金錢或財產的組織被請求或要求，或者政府將償付例如契約上當事人任何金錢或財產被請求或要求。至於所謂知悉（</w:t>
      </w:r>
      <w:r w:rsidRPr="004B0FB9">
        <w:rPr>
          <w:rFonts w:cs="新細明體"/>
        </w:rPr>
        <w:t>knowingly</w:t>
      </w:r>
      <w:r w:rsidRPr="004B0FB9">
        <w:rPr>
          <w:rFonts w:cs="新細明體" w:hint="eastAsia"/>
        </w:rPr>
        <w:t>）在</w:t>
      </w:r>
      <w:r w:rsidRPr="004B0FB9">
        <w:rPr>
          <w:rFonts w:cs="新細明體"/>
        </w:rPr>
        <w:t>1986</w:t>
      </w:r>
      <w:r w:rsidRPr="004B0FB9">
        <w:rPr>
          <w:rFonts w:cs="新細明體" w:hint="eastAsia"/>
        </w:rPr>
        <w:t>年修正案後，意謂關於訊息（</w:t>
      </w:r>
      <w:r w:rsidRPr="004B0FB9">
        <w:t>1</w:t>
      </w:r>
      <w:r w:rsidRPr="004B0FB9">
        <w:rPr>
          <w:rFonts w:hint="eastAsia"/>
        </w:rPr>
        <w:t>）</w:t>
      </w:r>
      <w:r w:rsidRPr="004B0FB9">
        <w:rPr>
          <w:rFonts w:cs="新細明體" w:hint="eastAsia"/>
        </w:rPr>
        <w:t>實際知情該資訊；（</w:t>
      </w:r>
      <w:r w:rsidRPr="004B0FB9">
        <w:t>2</w:t>
      </w:r>
      <w:r w:rsidRPr="004B0FB9">
        <w:rPr>
          <w:rFonts w:hint="eastAsia"/>
        </w:rPr>
        <w:t>）</w:t>
      </w:r>
      <w:r w:rsidRPr="004B0FB9">
        <w:rPr>
          <w:rFonts w:cs="新細明體" w:hint="eastAsia"/>
        </w:rPr>
        <w:t>有意地疏忽訊息的真實性或虛假；（</w:t>
      </w:r>
      <w:r w:rsidRPr="004B0FB9">
        <w:rPr>
          <w:rFonts w:cs="新細明體"/>
        </w:rPr>
        <w:t>3</w:t>
      </w:r>
      <w:r w:rsidRPr="004B0FB9">
        <w:rPr>
          <w:rFonts w:cs="新細明體" w:hint="eastAsia"/>
        </w:rPr>
        <w:t>）輕率疏忽（重大過失）訊息的真實性或虛假。在舉證責任上</w:t>
      </w:r>
      <w:r w:rsidRPr="004B0FB9">
        <w:rPr>
          <w:rFonts w:cs="新細明體"/>
        </w:rPr>
        <w:t>1986</w:t>
      </w:r>
      <w:r w:rsidRPr="004B0FB9">
        <w:rPr>
          <w:rFonts w:cs="新細明體" w:hint="eastAsia"/>
        </w:rPr>
        <w:t>年修</w:t>
      </w:r>
      <w:r>
        <w:rPr>
          <w:rFonts w:cs="新細明體" w:hint="eastAsia"/>
        </w:rPr>
        <w:t>正</w:t>
      </w:r>
      <w:r w:rsidRPr="004B0FB9">
        <w:rPr>
          <w:rFonts w:cs="新細明體" w:hint="eastAsia"/>
        </w:rPr>
        <w:t>案後亦從清楚、明確且具說服力的標準（</w:t>
      </w:r>
      <w:r w:rsidRPr="004B0FB9">
        <w:t>clear</w:t>
      </w:r>
      <w:r w:rsidRPr="004B0FB9">
        <w:rPr>
          <w:rFonts w:cs="新細明體" w:hint="eastAsia"/>
        </w:rPr>
        <w:t>、</w:t>
      </w:r>
      <w:r w:rsidRPr="004B0FB9">
        <w:t>unequivocal and convincing</w:t>
      </w:r>
      <w:r w:rsidRPr="004B0FB9">
        <w:rPr>
          <w:rFonts w:cs="新細明體" w:hint="eastAsia"/>
        </w:rPr>
        <w:t>），減輕為與一般大部分民事訴訟所要求典型優勢證據標準（</w:t>
      </w:r>
      <w:r w:rsidRPr="004B0FB9">
        <w:t>typical preponderance of the evidence standard</w:t>
      </w:r>
      <w:r w:rsidRPr="004B0FB9">
        <w:rPr>
          <w:rFonts w:cs="新細明體" w:hint="eastAsia"/>
        </w:rPr>
        <w:t>）相同之要求</w:t>
      </w:r>
      <w:r w:rsidRPr="004B0FB9">
        <w:rPr>
          <w:rStyle w:val="ac"/>
          <w:rFonts w:cs="新細明體"/>
        </w:rPr>
        <w:footnoteReference w:id="46"/>
      </w:r>
    </w:p>
    <w:p w:rsidR="00DB326D" w:rsidRPr="004B0FB9" w:rsidRDefault="00DB326D" w:rsidP="00DB326D">
      <w:pPr>
        <w:rPr>
          <w:rFonts w:cs="新細明體"/>
        </w:rPr>
      </w:pPr>
      <w:r w:rsidRPr="004B0FB9">
        <w:rPr>
          <w:rFonts w:cs="新細明體"/>
        </w:rPr>
        <w:t>2</w:t>
      </w:r>
      <w:r w:rsidRPr="004B0FB9">
        <w:rPr>
          <w:rFonts w:cs="新細明體" w:hint="eastAsia"/>
        </w:rPr>
        <w:t>、</w:t>
      </w:r>
      <w:r w:rsidRPr="004B0FB9">
        <w:rPr>
          <w:rFonts w:cs="新細明體"/>
        </w:rPr>
        <w:t>FCA</w:t>
      </w:r>
      <w:r w:rsidRPr="004B0FB9">
        <w:rPr>
          <w:rFonts w:cs="新細明體" w:hint="eastAsia"/>
        </w:rPr>
        <w:t>法案與醫療援助計劃費用之限制在仿單外使用上對於藥商之適用</w:t>
      </w:r>
    </w:p>
    <w:p w:rsidR="00DB326D" w:rsidRDefault="00DB326D" w:rsidP="00DB326D">
      <w:pPr>
        <w:tabs>
          <w:tab w:val="left" w:pos="993"/>
        </w:tabs>
      </w:pPr>
      <w:r w:rsidRPr="004B0FB9">
        <w:t xml:space="preserve">    </w:t>
      </w:r>
      <w:r w:rsidRPr="004B0FB9">
        <w:rPr>
          <w:rFonts w:hint="eastAsia"/>
        </w:rPr>
        <w:t>在</w:t>
      </w:r>
      <w:r w:rsidRPr="004B0FB9">
        <w:t>1986</w:t>
      </w:r>
      <w:r w:rsidRPr="004B0FB9">
        <w:rPr>
          <w:rFonts w:hint="eastAsia"/>
        </w:rPr>
        <w:t>年修正後，</w:t>
      </w:r>
      <w:r w:rsidRPr="004B0FB9">
        <w:t>FCA</w:t>
      </w:r>
      <w:r w:rsidRPr="004B0FB9">
        <w:rPr>
          <w:rFonts w:hint="eastAsia"/>
        </w:rPr>
        <w:t>法案被廣泛適用於醫療照護詐欺的領域，</w:t>
      </w:r>
      <w:r w:rsidRPr="004B0FB9">
        <w:rPr>
          <w:rFonts w:cs="新細明體"/>
        </w:rPr>
        <w:t>2003</w:t>
      </w:r>
      <w:r w:rsidRPr="004B0FB9">
        <w:rPr>
          <w:rFonts w:hAnsi="新細明體" w:cs="新細明體" w:hint="eastAsia"/>
        </w:rPr>
        <w:t>年由</w:t>
      </w:r>
      <w:r w:rsidRPr="004B0FB9">
        <w:rPr>
          <w:rFonts w:cs="新細明體"/>
        </w:rPr>
        <w:t>HHS</w:t>
      </w:r>
      <w:r w:rsidRPr="004B0FB9">
        <w:rPr>
          <w:rFonts w:hAnsi="新細明體" w:cs="新細明體" w:hint="eastAsia"/>
        </w:rPr>
        <w:t>報告估計，關於醫療照護之公益代位訴訟</w:t>
      </w:r>
      <w:r>
        <w:rPr>
          <w:rFonts w:hAnsi="新細明體" w:cs="新細明體" w:hint="eastAsia"/>
        </w:rPr>
        <w:t>獲利</w:t>
      </w:r>
      <w:r w:rsidRPr="004B0FB9">
        <w:rPr>
          <w:rFonts w:hAnsi="新細明體" w:cs="新細明體" w:hint="eastAsia"/>
        </w:rPr>
        <w:t>超過</w:t>
      </w:r>
      <w:r>
        <w:rPr>
          <w:rFonts w:hAnsi="新細明體" w:cs="新細明體" w:hint="eastAsia"/>
        </w:rPr>
        <w:t>美金</w:t>
      </w:r>
      <w:r w:rsidRPr="004B0FB9">
        <w:rPr>
          <w:rFonts w:cs="新細明體"/>
        </w:rPr>
        <w:t>10</w:t>
      </w:r>
      <w:r w:rsidRPr="004B0FB9">
        <w:rPr>
          <w:rFonts w:hAnsi="新細明體" w:cs="新細明體" w:hint="eastAsia"/>
        </w:rPr>
        <w:t>億元</w:t>
      </w:r>
      <w:r w:rsidRPr="004B0FB9">
        <w:rPr>
          <w:rStyle w:val="ac"/>
          <w:rFonts w:cs="新細明體"/>
        </w:rPr>
        <w:footnoteReference w:id="47"/>
      </w:r>
      <w:r w:rsidRPr="004B0FB9">
        <w:rPr>
          <w:rFonts w:hAnsi="新細明體" w:cs="新細明體" w:hint="eastAsia"/>
        </w:rPr>
        <w:t>，</w:t>
      </w:r>
      <w:r w:rsidRPr="004B0FB9">
        <w:rPr>
          <w:rFonts w:hint="eastAsia"/>
        </w:rPr>
        <w:t>雖</w:t>
      </w:r>
      <w:r>
        <w:rPr>
          <w:rFonts w:hint="eastAsia"/>
        </w:rPr>
        <w:t>然</w:t>
      </w:r>
      <w:r>
        <w:rPr>
          <w:rFonts w:eastAsia="MS Mincho" w:hint="eastAsia"/>
        </w:rPr>
        <w:t xml:space="preserve"> </w:t>
      </w:r>
      <w:r w:rsidRPr="004B0FB9">
        <w:t>FDCA</w:t>
      </w:r>
      <w:r w:rsidRPr="004B0FB9">
        <w:rPr>
          <w:rFonts w:hint="eastAsia"/>
        </w:rPr>
        <w:t>法案並未提供在仿單外使用對於藥商金錢賠償之訴因，但是在</w:t>
      </w:r>
      <w:r w:rsidRPr="004B0FB9">
        <w:t>FCA</w:t>
      </w:r>
      <w:r w:rsidRPr="004B0FB9">
        <w:rPr>
          <w:rFonts w:hint="eastAsia"/>
        </w:rPr>
        <w:t>不正請求禁止法</w:t>
      </w:r>
      <w:r>
        <w:rPr>
          <w:rFonts w:hint="eastAsia"/>
        </w:rPr>
        <w:t>之下，</w:t>
      </w:r>
      <w:r w:rsidRPr="004B0FB9">
        <w:rPr>
          <w:rFonts w:hint="eastAsia"/>
        </w:rPr>
        <w:t>可以創造疏於遵守關於重要事項錯誤陳述而取得國家利益之責任，</w:t>
      </w:r>
      <w:r>
        <w:rPr>
          <w:rFonts w:hint="eastAsia"/>
        </w:rPr>
        <w:t>成為</w:t>
      </w:r>
      <w:r w:rsidRPr="004B0FB9">
        <w:rPr>
          <w:rFonts w:hint="eastAsia"/>
        </w:rPr>
        <w:t>藥商造成國家支付不實請求時之訴因，最著名的案例為</w:t>
      </w:r>
      <w:r w:rsidRPr="004B0FB9">
        <w:t>Franklin v.</w:t>
      </w:r>
      <w:r>
        <w:rPr>
          <w:rFonts w:hint="eastAsia"/>
        </w:rPr>
        <w:t xml:space="preserve"> </w:t>
      </w:r>
      <w:r w:rsidRPr="004B0FB9">
        <w:t>Parke-Davis</w:t>
      </w:r>
      <w:r w:rsidRPr="004B0FB9">
        <w:rPr>
          <w:rStyle w:val="ac"/>
        </w:rPr>
        <w:footnoteReference w:id="48"/>
      </w:r>
      <w:r w:rsidRPr="004B0FB9">
        <w:rPr>
          <w:rFonts w:hint="eastAsia"/>
        </w:rPr>
        <w:t>，該訴訟中是由</w:t>
      </w:r>
      <w:r w:rsidRPr="004B0FB9">
        <w:t>Parke-Davis</w:t>
      </w:r>
      <w:r w:rsidRPr="004B0FB9">
        <w:rPr>
          <w:rFonts w:hint="eastAsia"/>
        </w:rPr>
        <w:t>（派德藥廠）前員工所提出該藥廠涉及詐騙之訴訟，主張</w:t>
      </w:r>
      <w:r w:rsidRPr="004B0FB9">
        <w:t>Parke-Davis</w:t>
      </w:r>
      <w:r w:rsidRPr="004B0FB9">
        <w:rPr>
          <w:rFonts w:hint="eastAsia"/>
        </w:rPr>
        <w:t>藥廠藉由造成醫師去開立該廠所屬藥品鎮頑癲（</w:t>
      </w:r>
      <w:proofErr w:type="spellStart"/>
      <w:r w:rsidRPr="004B0FB9">
        <w:t>Neurotin</w:t>
      </w:r>
      <w:proofErr w:type="spellEnd"/>
      <w:r w:rsidRPr="004B0FB9">
        <w:rPr>
          <w:rFonts w:hint="eastAsia"/>
        </w:rPr>
        <w:t>）之仿單外使用處方給患者，然後由醫療援助計劃（</w:t>
      </w:r>
      <w:r w:rsidRPr="004B0FB9">
        <w:t>Medicaid</w:t>
      </w:r>
      <w:r w:rsidRPr="004B0FB9">
        <w:rPr>
          <w:rFonts w:hint="eastAsia"/>
        </w:rPr>
        <w:t>）</w:t>
      </w:r>
      <w:r w:rsidRPr="004B0FB9">
        <w:rPr>
          <w:rStyle w:val="ac"/>
        </w:rPr>
        <w:footnoteReference w:id="49"/>
      </w:r>
      <w:r w:rsidRPr="004B0FB9">
        <w:rPr>
          <w:rFonts w:hint="eastAsia"/>
        </w:rPr>
        <w:t>償付該處方之方式詐騙美國政府。原告主張被告促銷藥品</w:t>
      </w:r>
      <w:r>
        <w:rPr>
          <w:rFonts w:hint="eastAsia"/>
        </w:rPr>
        <w:t>之</w:t>
      </w:r>
      <w:r w:rsidRPr="004B0FB9">
        <w:rPr>
          <w:rFonts w:hint="eastAsia"/>
        </w:rPr>
        <w:t>用</w:t>
      </w:r>
      <w:r>
        <w:rPr>
          <w:rFonts w:hint="eastAsia"/>
        </w:rPr>
        <w:t>途</w:t>
      </w:r>
      <w:r w:rsidRPr="004B0FB9">
        <w:rPr>
          <w:rFonts w:hint="eastAsia"/>
        </w:rPr>
        <w:t>並非</w:t>
      </w:r>
      <w:r w:rsidRPr="004B0FB9">
        <w:t>FDA</w:t>
      </w:r>
      <w:r w:rsidRPr="004B0FB9">
        <w:rPr>
          <w:rFonts w:hint="eastAsia"/>
        </w:rPr>
        <w:t>所核准，導致聯邦政府償付在醫療援助計劃下並非適格之鎮頑癲藥品費用。本件原告</w:t>
      </w:r>
      <w:r w:rsidRPr="004B0FB9">
        <w:t>Dr.</w:t>
      </w:r>
      <w:r>
        <w:rPr>
          <w:rFonts w:hint="eastAsia"/>
        </w:rPr>
        <w:t xml:space="preserve"> </w:t>
      </w:r>
      <w:r w:rsidRPr="004B0FB9">
        <w:t>Franklin</w:t>
      </w:r>
      <w:r w:rsidRPr="004B0FB9">
        <w:rPr>
          <w:rFonts w:hint="eastAsia"/>
        </w:rPr>
        <w:t>擁有生物學博士學歷，在</w:t>
      </w:r>
      <w:r w:rsidRPr="004B0FB9">
        <w:t>1996</w:t>
      </w:r>
      <w:r w:rsidRPr="004B0FB9">
        <w:rPr>
          <w:rFonts w:hint="eastAsia"/>
        </w:rPr>
        <w:t>年受僱被告藥廠擔任醫療聯絡人，</w:t>
      </w:r>
      <w:r w:rsidRPr="004B0FB9">
        <w:t>Franklin</w:t>
      </w:r>
      <w:r w:rsidRPr="004B0FB9">
        <w:rPr>
          <w:rFonts w:hint="eastAsia"/>
        </w:rPr>
        <w:t>主張在受僱</w:t>
      </w:r>
      <w:r w:rsidRPr="004B0FB9">
        <w:t>4</w:t>
      </w:r>
      <w:r w:rsidRPr="004B0FB9">
        <w:rPr>
          <w:rFonts w:hint="eastAsia"/>
        </w:rPr>
        <w:t>個月</w:t>
      </w:r>
      <w:r w:rsidRPr="004B0FB9">
        <w:rPr>
          <w:rFonts w:hint="eastAsia"/>
        </w:rPr>
        <w:lastRenderedPageBreak/>
        <w:t>期間，他與其他受僱人被訓練去提供醫師有關於仿單外使用安全性與有效性的假資料，例如</w:t>
      </w:r>
      <w:r>
        <w:rPr>
          <w:rFonts w:hint="eastAsia"/>
        </w:rPr>
        <w:t>：</w:t>
      </w:r>
      <w:r w:rsidRPr="004B0FB9">
        <w:rPr>
          <w:rFonts w:hint="eastAsia"/>
        </w:rPr>
        <w:t>實際上並無相關資料存在</w:t>
      </w:r>
      <w:r>
        <w:rPr>
          <w:rFonts w:hint="eastAsia"/>
        </w:rPr>
        <w:t>，</w:t>
      </w:r>
      <w:r w:rsidRPr="004B0FB9">
        <w:rPr>
          <w:rFonts w:hint="eastAsia"/>
        </w:rPr>
        <w:t>而誤導醫師相信有支持治療各式各樣症狀</w:t>
      </w:r>
      <w:r>
        <w:rPr>
          <w:rFonts w:hint="eastAsia"/>
        </w:rPr>
        <w:t>之</w:t>
      </w:r>
      <w:r w:rsidRPr="004B0FB9">
        <w:rPr>
          <w:rFonts w:hint="eastAsia"/>
        </w:rPr>
        <w:t>人體試驗資料存在，如躁鬱症、注意力不集中等，來促銷鎮頑癲之仿單外使用。他們也被訓練要裝作研究部門人員或醫師，而非銷售代表，來取得醫師之信任。鎮頑癲於</w:t>
      </w:r>
      <w:r w:rsidRPr="004B0FB9">
        <w:t>1994</w:t>
      </w:r>
      <w:r w:rsidRPr="004B0FB9">
        <w:rPr>
          <w:rFonts w:hint="eastAsia"/>
        </w:rPr>
        <w:t>年被</w:t>
      </w:r>
      <w:r w:rsidRPr="004B0FB9">
        <w:t>FDA</w:t>
      </w:r>
      <w:r w:rsidRPr="004B0FB9">
        <w:rPr>
          <w:rFonts w:hint="eastAsia"/>
        </w:rPr>
        <w:t>核准作為一種結合其他藥物去控制癲癇，核准劑量每天介於</w:t>
      </w:r>
      <w:r w:rsidRPr="004B0FB9">
        <w:t>900</w:t>
      </w:r>
      <w:r w:rsidRPr="004B0FB9">
        <w:rPr>
          <w:rFonts w:hint="eastAsia"/>
        </w:rPr>
        <w:t>至</w:t>
      </w:r>
      <w:r w:rsidRPr="004B0FB9">
        <w:t>1800</w:t>
      </w:r>
      <w:r w:rsidRPr="004B0FB9">
        <w:rPr>
          <w:rFonts w:hint="eastAsia"/>
        </w:rPr>
        <w:t>毫克，而在原告受僱期間即使並無任何科學證據去證明鎮頑癲對於這些症狀是有效，該藥物還是被促銷用於治療包括疼痛控制、躁鬱症、注意力不集中等疾病，除此之外，被告藥廠業務主管告訴銷售代表要提高使用劑量一天達</w:t>
      </w:r>
      <w:r w:rsidRPr="004B0FB9">
        <w:t>4800</w:t>
      </w:r>
      <w:r w:rsidRPr="004B0FB9">
        <w:rPr>
          <w:rFonts w:hint="eastAsia"/>
        </w:rPr>
        <w:t>毫克。另外，對於醫師大量開立該藥可從現金付款、旅行利益、奧運門票等形式拿到佣金，而現金有時以顧問費或參與研究來掩飾</w:t>
      </w:r>
      <w:r w:rsidRPr="004B0FB9">
        <w:rPr>
          <w:rStyle w:val="ac"/>
        </w:rPr>
        <w:footnoteReference w:id="50"/>
      </w:r>
      <w:r w:rsidRPr="004B0FB9">
        <w:rPr>
          <w:rFonts w:hint="eastAsia"/>
        </w:rPr>
        <w:t>。此種促銷明顯是成功，在促銷之後一季</w:t>
      </w:r>
      <w:r>
        <w:rPr>
          <w:rFonts w:hint="eastAsia"/>
        </w:rPr>
        <w:t>該藥用於</w:t>
      </w:r>
      <w:r w:rsidRPr="004B0FB9">
        <w:rPr>
          <w:rFonts w:hint="eastAsia"/>
        </w:rPr>
        <w:t>止痛</w:t>
      </w:r>
      <w:r>
        <w:rPr>
          <w:rFonts w:hint="eastAsia"/>
        </w:rPr>
        <w:t>之處方</w:t>
      </w:r>
      <w:r w:rsidRPr="004B0FB9">
        <w:rPr>
          <w:rFonts w:hint="eastAsia"/>
        </w:rPr>
        <w:t>增加</w:t>
      </w:r>
      <w:r w:rsidRPr="004B0FB9">
        <w:t>25</w:t>
      </w:r>
      <w:r w:rsidRPr="004B0FB9">
        <w:rPr>
          <w:rFonts w:hint="eastAsia"/>
        </w:rPr>
        <w:t>倍，在</w:t>
      </w:r>
      <w:r w:rsidRPr="004B0FB9">
        <w:t>1996</w:t>
      </w:r>
      <w:r w:rsidRPr="004B0FB9">
        <w:rPr>
          <w:rFonts w:hint="eastAsia"/>
        </w:rPr>
        <w:t>年第二季促銷治療偏頭痛後，用量增加</w:t>
      </w:r>
      <w:r w:rsidRPr="004B0FB9">
        <w:t>8</w:t>
      </w:r>
      <w:r w:rsidRPr="004B0FB9">
        <w:rPr>
          <w:rFonts w:hint="eastAsia"/>
        </w:rPr>
        <w:t>倍，相較在</w:t>
      </w:r>
      <w:r w:rsidRPr="004B0FB9">
        <w:t>1995</w:t>
      </w:r>
      <w:r w:rsidRPr="004B0FB9">
        <w:rPr>
          <w:rFonts w:hint="eastAsia"/>
        </w:rPr>
        <w:t>年晚期該藥仿單外使用</w:t>
      </w:r>
      <w:r>
        <w:rPr>
          <w:rFonts w:hint="eastAsia"/>
        </w:rPr>
        <w:t>佔</w:t>
      </w:r>
      <w:r w:rsidRPr="004B0FB9">
        <w:rPr>
          <w:rFonts w:hint="eastAsia"/>
        </w:rPr>
        <w:t>總銷售少於百分之</w:t>
      </w:r>
      <w:r w:rsidRPr="004B0FB9">
        <w:t>15</w:t>
      </w:r>
      <w:r w:rsidRPr="004B0FB9">
        <w:rPr>
          <w:rFonts w:hint="eastAsia"/>
        </w:rPr>
        <w:t>，在</w:t>
      </w:r>
      <w:r w:rsidRPr="004B0FB9">
        <w:t>2003</w:t>
      </w:r>
      <w:r w:rsidRPr="004B0FB9">
        <w:rPr>
          <w:rFonts w:hint="eastAsia"/>
        </w:rPr>
        <w:t>年仿單外使用已佔總銷售近百分之</w:t>
      </w:r>
      <w:r w:rsidRPr="004B0FB9">
        <w:t>90</w:t>
      </w:r>
      <w:r w:rsidRPr="004B0FB9">
        <w:rPr>
          <w:rFonts w:hint="eastAsia"/>
        </w:rPr>
        <w:t>，當被告就該藥</w:t>
      </w:r>
      <w:r>
        <w:rPr>
          <w:rFonts w:hint="eastAsia"/>
        </w:rPr>
        <w:t>品</w:t>
      </w:r>
      <w:r w:rsidRPr="004B0FB9">
        <w:rPr>
          <w:rFonts w:hint="eastAsia"/>
        </w:rPr>
        <w:t>評估其銷售壽命約可進帳</w:t>
      </w:r>
      <w:r w:rsidRPr="004B0FB9">
        <w:t>50</w:t>
      </w:r>
      <w:r w:rsidRPr="004B0FB9">
        <w:rPr>
          <w:rFonts w:hint="eastAsia"/>
        </w:rPr>
        <w:t>億美金，惟最近幾年每年收入獲得</w:t>
      </w:r>
      <w:r w:rsidRPr="004B0FB9">
        <w:t>20</w:t>
      </w:r>
      <w:r w:rsidRPr="004B0FB9">
        <w:rPr>
          <w:rFonts w:hint="eastAsia"/>
        </w:rPr>
        <w:t>億美金</w:t>
      </w:r>
      <w:r w:rsidRPr="004B0FB9">
        <w:rPr>
          <w:rStyle w:val="ac"/>
        </w:rPr>
        <w:footnoteReference w:id="51"/>
      </w:r>
      <w:r w:rsidRPr="004B0FB9">
        <w:rPr>
          <w:rFonts w:hint="eastAsia"/>
        </w:rPr>
        <w:t>。</w:t>
      </w:r>
    </w:p>
    <w:p w:rsidR="00DB326D" w:rsidRPr="004B0FB9" w:rsidRDefault="00DB326D" w:rsidP="00DB326D">
      <w:pPr>
        <w:tabs>
          <w:tab w:val="left" w:pos="993"/>
        </w:tabs>
      </w:pPr>
      <w:r>
        <w:t xml:space="preserve">    </w:t>
      </w:r>
      <w:r w:rsidRPr="004B0FB9">
        <w:t>FCA</w:t>
      </w:r>
      <w:r w:rsidRPr="004B0FB9">
        <w:rPr>
          <w:rFonts w:hint="eastAsia"/>
        </w:rPr>
        <w:t>法案在本案適用的基礎在於被告藥商詐騙使醫師使用該藥於各式各樣的仿單外使用，而該處方被提出要求償付絕大部分是由醫療援助計劃所支付，原告主張該藥的仿單外使用並非醫療援助計劃所應償付的項目。被告則抗辯依</w:t>
      </w:r>
      <w:r w:rsidRPr="004B0FB9">
        <w:t>FCA</w:t>
      </w:r>
      <w:r w:rsidRPr="004B0FB9">
        <w:rPr>
          <w:rFonts w:hint="eastAsia"/>
        </w:rPr>
        <w:t>法案須存在雙重詐騙要件始可請求，原告雖提出被告在銷售</w:t>
      </w:r>
      <w:r>
        <w:rPr>
          <w:rFonts w:hint="eastAsia"/>
        </w:rPr>
        <w:t>藥品</w:t>
      </w:r>
      <w:r w:rsidRPr="004B0FB9">
        <w:rPr>
          <w:rFonts w:hint="eastAsia"/>
        </w:rPr>
        <w:t>仿單外使用許多詐騙主張，但原告必須證明被告係故意地做出重要詐騙聲明導致提出不實請求。麻州地方法院認為有關於藥商責任之適用應該要區別</w:t>
      </w:r>
      <w:r w:rsidRPr="004B0FB9">
        <w:t>FCA</w:t>
      </w:r>
      <w:r w:rsidRPr="004B0FB9">
        <w:rPr>
          <w:rFonts w:hint="eastAsia"/>
        </w:rPr>
        <w:t>法案</w:t>
      </w:r>
      <w:r w:rsidRPr="004B0FB9">
        <w:t>3729</w:t>
      </w:r>
      <w:r w:rsidRPr="004B0FB9">
        <w:rPr>
          <w:rFonts w:hint="eastAsia"/>
        </w:rPr>
        <w:t>條</w:t>
      </w:r>
      <w:r w:rsidRPr="004B0FB9">
        <w:t>A</w:t>
      </w:r>
      <w:r w:rsidRPr="004B0FB9">
        <w:rPr>
          <w:rFonts w:hint="eastAsia"/>
        </w:rPr>
        <w:t>項第</w:t>
      </w:r>
      <w:r w:rsidRPr="004B0FB9">
        <w:t>1</w:t>
      </w:r>
      <w:r w:rsidRPr="004B0FB9">
        <w:rPr>
          <w:rFonts w:hint="eastAsia"/>
        </w:rPr>
        <w:t>款與第</w:t>
      </w:r>
      <w:r w:rsidRPr="004B0FB9">
        <w:t>2</w:t>
      </w:r>
      <w:r w:rsidRPr="004B0FB9">
        <w:rPr>
          <w:rFonts w:hint="eastAsia"/>
        </w:rPr>
        <w:t>款不同，認為該條項第</w:t>
      </w:r>
      <w:r w:rsidRPr="004B0FB9">
        <w:t>1</w:t>
      </w:r>
      <w:r w:rsidRPr="004B0FB9">
        <w:rPr>
          <w:rFonts w:hint="eastAsia"/>
        </w:rPr>
        <w:t>款並不要求原告提出證明不實請求是因詐騙聲明而來，換言之，原告並未被要求去證明對於醫師關於藥品安全性或有效性的聲稱是詐騙，法院認為只要證明藥商使第三人提出處方</w:t>
      </w:r>
      <w:r>
        <w:rPr>
          <w:rFonts w:hint="eastAsia"/>
        </w:rPr>
        <w:t>藥品</w:t>
      </w:r>
      <w:r w:rsidRPr="004B0FB9">
        <w:rPr>
          <w:rFonts w:hint="eastAsia"/>
        </w:rPr>
        <w:t>費用請求償付是不實請求即可，雙重詐騙要件是被要求在</w:t>
      </w:r>
      <w:r w:rsidRPr="004B0FB9">
        <w:t>FCA</w:t>
      </w:r>
      <w:r w:rsidRPr="004B0FB9">
        <w:rPr>
          <w:rFonts w:hint="eastAsia"/>
        </w:rPr>
        <w:t>法案</w:t>
      </w:r>
      <w:r w:rsidRPr="004B0FB9">
        <w:t>3729</w:t>
      </w:r>
      <w:r w:rsidRPr="004B0FB9">
        <w:rPr>
          <w:rFonts w:hint="eastAsia"/>
        </w:rPr>
        <w:t>條</w:t>
      </w:r>
      <w:r w:rsidRPr="004B0FB9">
        <w:t>A</w:t>
      </w:r>
      <w:r w:rsidRPr="004B0FB9">
        <w:rPr>
          <w:rFonts w:hint="eastAsia"/>
        </w:rPr>
        <w:t>項第</w:t>
      </w:r>
      <w:r w:rsidRPr="004B0FB9">
        <w:t>2</w:t>
      </w:r>
      <w:r w:rsidRPr="004B0FB9">
        <w:rPr>
          <w:rFonts w:hint="eastAsia"/>
        </w:rPr>
        <w:t>款，因此只要被告造成仿單外使用之處方是在醫療援助計劃不適格項目提出償付，原因並不需要是醫師被詐騙或其他方面的非法行為。然此處牽涉到一個困難的問題在於聯邦政府醫療援助計劃對於仿單外使用是否償付</w:t>
      </w:r>
      <w:r>
        <w:rPr>
          <w:rFonts w:hint="eastAsia"/>
        </w:rPr>
        <w:t>？</w:t>
      </w:r>
      <w:r w:rsidRPr="004B0FB9">
        <w:rPr>
          <w:rFonts w:hint="eastAsia"/>
        </w:rPr>
        <w:t>被告抗辯有</w:t>
      </w:r>
      <w:r w:rsidRPr="004B0FB9">
        <w:t>42</w:t>
      </w:r>
      <w:r w:rsidRPr="004B0FB9">
        <w:rPr>
          <w:rFonts w:hint="eastAsia"/>
        </w:rPr>
        <w:t>州的醫療援助計劃准許對於仿單外使用的處方藥為費用給付，如果州擁有判斷權力去決定是否如此處方請求償付是可給付，這樣的提出償付請</w:t>
      </w:r>
      <w:r>
        <w:rPr>
          <w:rFonts w:hint="eastAsia"/>
        </w:rPr>
        <w:t>求</w:t>
      </w:r>
      <w:r w:rsidRPr="004B0FB9">
        <w:rPr>
          <w:rFonts w:hint="eastAsia"/>
        </w:rPr>
        <w:t>就無法被認為是不實請求。這個難題取決醫療援助計劃規定的解釋，該規定為「州政府能排除或包括門診病人的藥物保險項目之其他方面限制」，如果處方藥之使用是不符合醫療所接受的適應症，被告</w:t>
      </w:r>
      <w:r>
        <w:rPr>
          <w:rFonts w:hint="eastAsia"/>
        </w:rPr>
        <w:t>抗辯</w:t>
      </w:r>
      <w:r w:rsidRPr="004B0FB9">
        <w:rPr>
          <w:rFonts w:hint="eastAsia"/>
        </w:rPr>
        <w:t>依字義上證明州政府本來就具有判斷權利是否不去支付仿單外使用</w:t>
      </w:r>
      <w:r>
        <w:rPr>
          <w:rFonts w:hint="eastAsia"/>
        </w:rPr>
        <w:t>之處方藥</w:t>
      </w:r>
      <w:r w:rsidRPr="004B0FB9">
        <w:rPr>
          <w:rFonts w:hint="eastAsia"/>
        </w:rPr>
        <w:t>的費用，而主張本案並無不實請求存在。而原告主張州的判斷權只有限制門診病人的處方藥，並未包括其他方面之用藥，法院就此部分之爭點認為全美國有</w:t>
      </w:r>
      <w:r w:rsidRPr="004B0FB9">
        <w:t>8</w:t>
      </w:r>
      <w:r w:rsidRPr="004B0FB9">
        <w:rPr>
          <w:rFonts w:hint="eastAsia"/>
        </w:rPr>
        <w:t>州明白規定仿單外使用</w:t>
      </w:r>
      <w:r>
        <w:rPr>
          <w:rFonts w:hint="eastAsia"/>
        </w:rPr>
        <w:t>之處方藥</w:t>
      </w:r>
      <w:r w:rsidRPr="004B0FB9">
        <w:rPr>
          <w:rFonts w:hint="eastAsia"/>
        </w:rPr>
        <w:t>是不被允許請求</w:t>
      </w:r>
      <w:r>
        <w:rPr>
          <w:rFonts w:hint="eastAsia"/>
        </w:rPr>
        <w:t>之</w:t>
      </w:r>
      <w:r w:rsidRPr="004B0FB9">
        <w:rPr>
          <w:rFonts w:hint="eastAsia"/>
        </w:rPr>
        <w:t>費用，在此</w:t>
      </w:r>
      <w:r w:rsidRPr="004B0FB9">
        <w:t>8</w:t>
      </w:r>
      <w:r w:rsidRPr="004B0FB9">
        <w:rPr>
          <w:rFonts w:hint="eastAsia"/>
        </w:rPr>
        <w:t>州範圍內，若藥商使第三人就仿單外使用之藥品費用向聯邦政府</w:t>
      </w:r>
      <w:r>
        <w:rPr>
          <w:rFonts w:hint="eastAsia"/>
        </w:rPr>
        <w:t>所資助之</w:t>
      </w:r>
      <w:r w:rsidRPr="004B0FB9">
        <w:rPr>
          <w:rFonts w:hint="eastAsia"/>
        </w:rPr>
        <w:t>醫療援助計劃提出</w:t>
      </w:r>
      <w:r w:rsidRPr="004B0FB9">
        <w:rPr>
          <w:rFonts w:hint="eastAsia"/>
        </w:rPr>
        <w:lastRenderedPageBreak/>
        <w:t>請求，則藥商具有</w:t>
      </w:r>
      <w:r w:rsidRPr="004B0FB9">
        <w:t>FCA</w:t>
      </w:r>
      <w:r w:rsidRPr="004B0FB9">
        <w:rPr>
          <w:rFonts w:hint="eastAsia"/>
        </w:rPr>
        <w:t>法案</w:t>
      </w:r>
      <w:r w:rsidRPr="004B0FB9">
        <w:t>3729</w:t>
      </w:r>
      <w:r w:rsidRPr="004B0FB9">
        <w:rPr>
          <w:rFonts w:hint="eastAsia"/>
        </w:rPr>
        <w:t>條</w:t>
      </w:r>
      <w:r w:rsidRPr="004B0FB9">
        <w:t>A</w:t>
      </w:r>
      <w:r w:rsidRPr="004B0FB9">
        <w:rPr>
          <w:rFonts w:hint="eastAsia"/>
        </w:rPr>
        <w:t>項第</w:t>
      </w:r>
      <w:r w:rsidRPr="004B0FB9">
        <w:t>1</w:t>
      </w:r>
      <w:r w:rsidRPr="004B0FB9">
        <w:rPr>
          <w:rFonts w:hint="eastAsia"/>
        </w:rPr>
        <w:t>款之責任可被認定。此外，在因果關係上，被告亦抗辯因為醫師行為介入打破因果關係之連鎖（即必須證明</w:t>
      </w:r>
      <w:r>
        <w:rPr>
          <w:rFonts w:hint="eastAsia"/>
        </w:rPr>
        <w:t>係</w:t>
      </w:r>
      <w:r w:rsidRPr="004B0FB9">
        <w:rPr>
          <w:rFonts w:hint="eastAsia"/>
        </w:rPr>
        <w:t>被告的行為導致不實請求之提出），然而，法院認為從醫師與被告公司業務代表接觸之前、後</w:t>
      </w:r>
      <w:r>
        <w:rPr>
          <w:rFonts w:hint="eastAsia"/>
        </w:rPr>
        <w:t>，</w:t>
      </w:r>
      <w:r w:rsidRPr="004B0FB9">
        <w:rPr>
          <w:rFonts w:hint="eastAsia"/>
        </w:rPr>
        <w:t>以及市場研究顯示醫師與被告銷售代表開會之後，關於仿單外使用處方比例高低變化，已提供足夠之證明。法院不要求個別醫師因信賴被告銷售代表虛假的陳述而提出不實請求的證據。法院認為一個介入的力量</w:t>
      </w:r>
      <w:r>
        <w:rPr>
          <w:rFonts w:hint="eastAsia"/>
        </w:rPr>
        <w:t>要</w:t>
      </w:r>
      <w:r w:rsidRPr="004B0FB9">
        <w:rPr>
          <w:rFonts w:hint="eastAsia"/>
        </w:rPr>
        <w:t>打破因果關係連</w:t>
      </w:r>
      <w:r>
        <w:rPr>
          <w:rFonts w:hint="eastAsia"/>
        </w:rPr>
        <w:t>鎖，</w:t>
      </w:r>
      <w:r w:rsidRPr="004B0FB9">
        <w:rPr>
          <w:rFonts w:hint="eastAsia"/>
        </w:rPr>
        <w:t>只有</w:t>
      </w:r>
      <w:r>
        <w:rPr>
          <w:rFonts w:hint="eastAsia"/>
        </w:rPr>
        <w:t>這樣的</w:t>
      </w:r>
      <w:r w:rsidRPr="004B0FB9">
        <w:rPr>
          <w:rFonts w:hint="eastAsia"/>
        </w:rPr>
        <w:t>介入是行為人行為當時所不可預料的，法院在此案例指出</w:t>
      </w:r>
      <w:r>
        <w:rPr>
          <w:rFonts w:hint="eastAsia"/>
        </w:rPr>
        <w:t>：藥商對於第三方</w:t>
      </w:r>
      <w:r w:rsidRPr="004B0FB9">
        <w:rPr>
          <w:rFonts w:hint="eastAsia"/>
        </w:rPr>
        <w:t>提出</w:t>
      </w:r>
      <w:r>
        <w:rPr>
          <w:rFonts w:hint="eastAsia"/>
        </w:rPr>
        <w:t>不合資格之</w:t>
      </w:r>
      <w:r w:rsidRPr="004B0FB9">
        <w:rPr>
          <w:rFonts w:hint="eastAsia"/>
        </w:rPr>
        <w:t>處方償付</w:t>
      </w:r>
      <w:r>
        <w:rPr>
          <w:rFonts w:hint="eastAsia"/>
        </w:rPr>
        <w:t>而來</w:t>
      </w:r>
      <w:r w:rsidRPr="004B0FB9">
        <w:rPr>
          <w:rFonts w:hint="eastAsia"/>
        </w:rPr>
        <w:t>詐騙醫療援助計劃</w:t>
      </w:r>
      <w:r>
        <w:rPr>
          <w:rFonts w:hint="eastAsia"/>
        </w:rPr>
        <w:t>，</w:t>
      </w:r>
      <w:r w:rsidRPr="004B0FB9">
        <w:rPr>
          <w:rFonts w:hint="eastAsia"/>
        </w:rPr>
        <w:t>不是不可預</w:t>
      </w:r>
      <w:r>
        <w:rPr>
          <w:rFonts w:hint="eastAsia"/>
        </w:rPr>
        <w:t>見</w:t>
      </w:r>
      <w:r w:rsidRPr="004B0FB9">
        <w:rPr>
          <w:rFonts w:hint="eastAsia"/>
        </w:rPr>
        <w:t>，而且還是</w:t>
      </w:r>
      <w:r>
        <w:rPr>
          <w:rFonts w:hint="eastAsia"/>
        </w:rPr>
        <w:t>藥商</w:t>
      </w:r>
      <w:r w:rsidRPr="004B0FB9">
        <w:rPr>
          <w:rFonts w:hint="eastAsia"/>
        </w:rPr>
        <w:t>詐騙陰謀下的有意結果</w:t>
      </w:r>
      <w:r w:rsidRPr="004B0FB9">
        <w:rPr>
          <w:rStyle w:val="ac"/>
        </w:rPr>
        <w:footnoteReference w:id="52"/>
      </w:r>
      <w:r w:rsidRPr="004B0FB9">
        <w:rPr>
          <w:rFonts w:hint="eastAsia"/>
        </w:rPr>
        <w:t>。最後</w:t>
      </w:r>
      <w:r>
        <w:rPr>
          <w:rFonts w:hint="eastAsia"/>
        </w:rPr>
        <w:t>於</w:t>
      </w:r>
      <w:r>
        <w:t>2004</w:t>
      </w:r>
      <w:r>
        <w:rPr>
          <w:rFonts w:hint="eastAsia"/>
        </w:rPr>
        <w:t>年</w:t>
      </w:r>
      <w:r>
        <w:t>Parke-Davis</w:t>
      </w:r>
      <w:r>
        <w:rPr>
          <w:rFonts w:hint="eastAsia"/>
        </w:rPr>
        <w:t>的母公司</w:t>
      </w:r>
      <w:r>
        <w:t>. Warner-Lambert</w:t>
      </w:r>
      <w:r>
        <w:rPr>
          <w:rFonts w:hint="eastAsia"/>
        </w:rPr>
        <w:t>（華納．朗勃特）與美國聯邦政府達成和解，</w:t>
      </w:r>
      <w:r>
        <w:t>Warner-Lambert</w:t>
      </w:r>
      <w:r>
        <w:rPr>
          <w:rFonts w:hint="eastAsia"/>
        </w:rPr>
        <w:t>由於對於用途標示不足被控引進標示不實的藥品進行州際貿易和因為引進未經核准新藥進行州際貿易違反聯邦法律</w:t>
      </w:r>
      <w:r>
        <w:rPr>
          <w:rStyle w:val="ac"/>
        </w:rPr>
        <w:footnoteReference w:id="53"/>
      </w:r>
      <w:r>
        <w:rPr>
          <w:rFonts w:hint="eastAsia"/>
        </w:rPr>
        <w:t>部分認罪，刑事部分</w:t>
      </w:r>
      <w:r w:rsidRPr="004B0FB9">
        <w:rPr>
          <w:rFonts w:hint="eastAsia"/>
        </w:rPr>
        <w:t>本案輝瑞</w:t>
      </w:r>
      <w:r>
        <w:rPr>
          <w:rFonts w:hint="eastAsia"/>
        </w:rPr>
        <w:t>（</w:t>
      </w:r>
      <w:r>
        <w:t>Pfizer</w:t>
      </w:r>
      <w:r>
        <w:rPr>
          <w:rFonts w:hint="eastAsia"/>
        </w:rPr>
        <w:t>）</w:t>
      </w:r>
      <w:r w:rsidRPr="004B0FB9">
        <w:rPr>
          <w:rFonts w:hint="eastAsia"/>
        </w:rPr>
        <w:t>藥廠（</w:t>
      </w:r>
      <w:r>
        <w:t>Warner-Lambert</w:t>
      </w:r>
      <w:r>
        <w:rPr>
          <w:rFonts w:hint="eastAsia"/>
        </w:rPr>
        <w:t>於</w:t>
      </w:r>
      <w:r>
        <w:t>2000</w:t>
      </w:r>
      <w:r>
        <w:rPr>
          <w:rFonts w:hint="eastAsia"/>
        </w:rPr>
        <w:t>年</w:t>
      </w:r>
      <w:r>
        <w:t>6</w:t>
      </w:r>
      <w:r>
        <w:rPr>
          <w:rFonts w:hint="eastAsia"/>
        </w:rPr>
        <w:t>月</w:t>
      </w:r>
      <w:r w:rsidRPr="004B0FB9">
        <w:rPr>
          <w:rFonts w:hint="eastAsia"/>
        </w:rPr>
        <w:t>為</w:t>
      </w:r>
      <w:r>
        <w:rPr>
          <w:rFonts w:hint="eastAsia"/>
        </w:rPr>
        <w:t>輝瑞藥廠</w:t>
      </w:r>
      <w:r w:rsidRPr="004B0FB9">
        <w:rPr>
          <w:rFonts w:hint="eastAsia"/>
        </w:rPr>
        <w:t>併購）</w:t>
      </w:r>
      <w:r>
        <w:rPr>
          <w:rFonts w:hint="eastAsia"/>
        </w:rPr>
        <w:t>支付</w:t>
      </w:r>
      <w:r>
        <w:t>24</w:t>
      </w:r>
      <w:r>
        <w:rPr>
          <w:rFonts w:hint="eastAsia"/>
        </w:rPr>
        <w:t>億罰金，民事和解部分支付</w:t>
      </w:r>
      <w:r>
        <w:t>19</w:t>
      </w:r>
      <w:r>
        <w:rPr>
          <w:rFonts w:hint="eastAsia"/>
        </w:rPr>
        <w:t>億</w:t>
      </w:r>
      <w:r w:rsidRPr="004B0FB9">
        <w:rPr>
          <w:rFonts w:hint="eastAsia"/>
        </w:rPr>
        <w:t>美元</w:t>
      </w:r>
      <w:r>
        <w:rPr>
          <w:rStyle w:val="ac"/>
        </w:rPr>
        <w:footnoteReference w:id="54"/>
      </w:r>
      <w:r w:rsidRPr="004B0FB9">
        <w:rPr>
          <w:rFonts w:hint="eastAsia"/>
        </w:rPr>
        <w:t>及刑事罰金，原告</w:t>
      </w:r>
      <w:r w:rsidRPr="004B0FB9">
        <w:t>Franklin</w:t>
      </w:r>
      <w:r w:rsidRPr="004B0FB9">
        <w:rPr>
          <w:rFonts w:hint="eastAsia"/>
        </w:rPr>
        <w:t>從中獲得</w:t>
      </w:r>
      <w:r w:rsidRPr="004B0FB9">
        <w:t>2</w:t>
      </w:r>
      <w:r w:rsidRPr="004B0FB9">
        <w:rPr>
          <w:rFonts w:hint="eastAsia"/>
        </w:rPr>
        <w:t>千</w:t>
      </w:r>
      <w:r w:rsidRPr="004B0FB9">
        <w:t>4</w:t>
      </w:r>
      <w:r w:rsidRPr="004B0FB9">
        <w:rPr>
          <w:rFonts w:hint="eastAsia"/>
        </w:rPr>
        <w:t>百萬元之報酬。</w:t>
      </w:r>
    </w:p>
    <w:p w:rsidR="00DB326D" w:rsidRPr="004B0FB9" w:rsidRDefault="00DB326D" w:rsidP="00DB326D">
      <w:pPr>
        <w:tabs>
          <w:tab w:val="left" w:pos="993"/>
        </w:tabs>
      </w:pPr>
      <w:r w:rsidRPr="004B0FB9">
        <w:t>3</w:t>
      </w:r>
      <w:r w:rsidRPr="004B0FB9">
        <w:rPr>
          <w:rFonts w:hint="eastAsia"/>
        </w:rPr>
        <w:t>、</w:t>
      </w:r>
      <w:r w:rsidRPr="004B0FB9">
        <w:t>Parke-Davis</w:t>
      </w:r>
      <w:r w:rsidRPr="004B0FB9">
        <w:rPr>
          <w:rFonts w:hint="eastAsia"/>
        </w:rPr>
        <w:t>案適用</w:t>
      </w:r>
      <w:r w:rsidRPr="004B0FB9">
        <w:t>FCA</w:t>
      </w:r>
      <w:r w:rsidRPr="004B0FB9">
        <w:rPr>
          <w:rFonts w:hint="eastAsia"/>
        </w:rPr>
        <w:t>法案所引發之</w:t>
      </w:r>
      <w:r>
        <w:rPr>
          <w:rFonts w:hint="eastAsia"/>
        </w:rPr>
        <w:t>效應</w:t>
      </w:r>
    </w:p>
    <w:p w:rsidR="00DB326D" w:rsidRPr="00C14676" w:rsidRDefault="00DB326D" w:rsidP="00DB326D">
      <w:pPr>
        <w:ind w:firstLineChars="200" w:firstLine="480"/>
        <w:rPr>
          <w:rFonts w:ascii="新細明體"/>
        </w:rPr>
      </w:pPr>
      <w:r w:rsidRPr="004B0FB9">
        <w:rPr>
          <w:rFonts w:hint="eastAsia"/>
        </w:rPr>
        <w:t>當</w:t>
      </w:r>
      <w:r w:rsidRPr="004B0FB9">
        <w:t>Parke-Davis</w:t>
      </w:r>
      <w:r>
        <w:rPr>
          <w:rFonts w:hint="eastAsia"/>
        </w:rPr>
        <w:t>案經</w:t>
      </w:r>
      <w:r w:rsidRPr="004B0FB9">
        <w:rPr>
          <w:rFonts w:hint="eastAsia"/>
        </w:rPr>
        <w:t>麻州地方法院</w:t>
      </w:r>
      <w:r>
        <w:rPr>
          <w:rFonts w:hint="eastAsia"/>
        </w:rPr>
        <w:t>解釋藥商在仿單外使用行銷如何適用</w:t>
      </w:r>
      <w:r w:rsidRPr="004B0FB9">
        <w:t>FCA</w:t>
      </w:r>
      <w:r>
        <w:rPr>
          <w:rFonts w:hint="eastAsia"/>
        </w:rPr>
        <w:t>法案中關於</w:t>
      </w:r>
      <w:r>
        <w:rPr>
          <w:rFonts w:cs="新細明體" w:hint="eastAsia"/>
          <w:kern w:val="0"/>
        </w:rPr>
        <w:t>造成不實請求被提出的責任（</w:t>
      </w:r>
      <w:r>
        <w:rPr>
          <w:rFonts w:cs="新細明體"/>
          <w:kern w:val="0"/>
        </w:rPr>
        <w:t>cause-to-be-presented</w:t>
      </w:r>
      <w:r>
        <w:rPr>
          <w:rFonts w:cs="新細明體" w:hint="eastAsia"/>
          <w:kern w:val="0"/>
        </w:rPr>
        <w:t>）及因果關係認定</w:t>
      </w:r>
      <w:r w:rsidRPr="004B0FB9">
        <w:rPr>
          <w:rFonts w:hint="eastAsia"/>
        </w:rPr>
        <w:t>，</w:t>
      </w:r>
      <w:r>
        <w:rPr>
          <w:rFonts w:hint="eastAsia"/>
        </w:rPr>
        <w:t>導致藥商</w:t>
      </w:r>
      <w:r w:rsidRPr="004B0FB9">
        <w:rPr>
          <w:rFonts w:hint="eastAsia"/>
        </w:rPr>
        <w:t>在仿單外使用</w:t>
      </w:r>
      <w:r>
        <w:rPr>
          <w:rFonts w:hint="eastAsia"/>
        </w:rPr>
        <w:t>所為行銷，無論所傳遞之內容是否為虛偽或真實，只要仿單外使用之處方並非在聯邦政府醫療保險或醫療援助計劃所給付項目，</w:t>
      </w:r>
      <w:r w:rsidRPr="004B0FB9">
        <w:rPr>
          <w:rFonts w:hint="eastAsia"/>
        </w:rPr>
        <w:t>藥商</w:t>
      </w:r>
      <w:r>
        <w:rPr>
          <w:rFonts w:hint="eastAsia"/>
        </w:rPr>
        <w:t>雖</w:t>
      </w:r>
      <w:r w:rsidRPr="004B0FB9">
        <w:rPr>
          <w:rFonts w:hint="eastAsia"/>
        </w:rPr>
        <w:t>非自己直接向政府提出請求支付，</w:t>
      </w:r>
      <w:r>
        <w:rPr>
          <w:rFonts w:hint="eastAsia"/>
        </w:rPr>
        <w:t>而係將藥品</w:t>
      </w:r>
      <w:r w:rsidRPr="004B0FB9">
        <w:rPr>
          <w:rFonts w:hint="eastAsia"/>
        </w:rPr>
        <w:t>批發給</w:t>
      </w:r>
      <w:r>
        <w:rPr>
          <w:rFonts w:hint="eastAsia"/>
        </w:rPr>
        <w:t>醫院、藥局</w:t>
      </w:r>
      <w:r w:rsidRPr="004B0FB9">
        <w:rPr>
          <w:rFonts w:hint="eastAsia"/>
        </w:rPr>
        <w:t>，</w:t>
      </w:r>
      <w:r>
        <w:rPr>
          <w:rFonts w:hint="eastAsia"/>
        </w:rPr>
        <w:t>而由醫師開立處方箋給患者，患者再將處方箋</w:t>
      </w:r>
      <w:r w:rsidRPr="004B0FB9">
        <w:rPr>
          <w:rFonts w:hint="eastAsia"/>
        </w:rPr>
        <w:t>轉手給藥房或其他</w:t>
      </w:r>
      <w:r>
        <w:rPr>
          <w:rFonts w:hint="eastAsia"/>
        </w:rPr>
        <w:t>藥物</w:t>
      </w:r>
      <w:r w:rsidRPr="004B0FB9">
        <w:rPr>
          <w:rFonts w:hint="eastAsia"/>
        </w:rPr>
        <w:t>提供者，再依序由藥房或其他提供者向政府提出支付請求</w:t>
      </w:r>
      <w:r>
        <w:rPr>
          <w:rFonts w:hint="eastAsia"/>
        </w:rPr>
        <w:t>，只要藥商</w:t>
      </w:r>
      <w:r>
        <w:rPr>
          <w:rFonts w:cs="新細明體" w:hint="eastAsia"/>
          <w:kern w:val="0"/>
        </w:rPr>
        <w:t>主觀上認識其行為最終透過償付程序造成聯邦政府支出不當請求，</w:t>
      </w:r>
      <w:r w:rsidRPr="004B0FB9">
        <w:rPr>
          <w:rFonts w:hint="eastAsia"/>
        </w:rPr>
        <w:t>在</w:t>
      </w:r>
      <w:r w:rsidRPr="004B0FB9">
        <w:t>FCA</w:t>
      </w:r>
      <w:r>
        <w:rPr>
          <w:rFonts w:hint="eastAsia"/>
        </w:rPr>
        <w:t>法案</w:t>
      </w:r>
      <w:r w:rsidRPr="004B0FB9">
        <w:rPr>
          <w:rFonts w:hint="eastAsia"/>
        </w:rPr>
        <w:t>下</w:t>
      </w:r>
      <w:r>
        <w:rPr>
          <w:rFonts w:hint="eastAsia"/>
        </w:rPr>
        <w:t>均有</w:t>
      </w:r>
      <w:r w:rsidRPr="004B0FB9">
        <w:rPr>
          <w:rFonts w:hint="eastAsia"/>
        </w:rPr>
        <w:t>責任</w:t>
      </w:r>
      <w:r>
        <w:rPr>
          <w:rFonts w:hint="eastAsia"/>
        </w:rPr>
        <w:t>。其次，醫師開立仿單外使用之處方是否係因藥商行銷行為所致之因果關係，在本案著重並非個別醫師與藥商之間，而係以藥商銷售人員與醫師接觸後，仿單外使用整體銷售量關連性來認定因果關係，故在此種因果關係認定之標準下，對於要證明被告藥商行銷行為與醫師仿單外使用是無關，並不是著眼於是否銷售人員之陳述是虛假或詐騙，而是在於銷售人員行銷之陳述會造成醫師去尋求來自聯邦政府的償付的程度</w:t>
      </w:r>
      <w:r>
        <w:rPr>
          <w:rFonts w:ascii="新細明體" w:hint="eastAsia"/>
        </w:rPr>
        <w:t>，因此，藥廠銷售代表到底告訴醫師何事？有無處方箋被決定於醫師與銷售人員會談中？是否無論銷售代表與醫師說了什麼，醫師依其專業本來就會開立處方箋</w:t>
      </w:r>
      <w:r>
        <w:rPr>
          <w:rStyle w:val="ac"/>
          <w:rFonts w:ascii="新細明體"/>
        </w:rPr>
        <w:footnoteReference w:id="55"/>
      </w:r>
      <w:r>
        <w:rPr>
          <w:rFonts w:ascii="新細明體" w:hint="eastAsia"/>
        </w:rPr>
        <w:t>？才是認定因果關係的重點。</w:t>
      </w:r>
    </w:p>
    <w:p w:rsidR="00DB326D" w:rsidRPr="00EF66F8" w:rsidRDefault="00DB326D" w:rsidP="00DB326D">
      <w:pPr>
        <w:ind w:firstLineChars="200" w:firstLine="480"/>
        <w:outlineLvl w:val="3"/>
        <w:rPr>
          <w:rFonts w:ascii="新細明體"/>
          <w:lang w:val="de-DE"/>
        </w:rPr>
      </w:pPr>
      <w:r>
        <w:rPr>
          <w:rFonts w:ascii="新細明體" w:hAnsi="新細明體" w:cs="標楷體" w:hint="eastAsia"/>
        </w:rPr>
        <w:t>雖然</w:t>
      </w:r>
      <w:r>
        <w:rPr>
          <w:rFonts w:ascii="新細明體" w:hAnsi="新細明體" w:cs="標楷體"/>
        </w:rPr>
        <w:t xml:space="preserve"> </w:t>
      </w:r>
      <w:r w:rsidRPr="004B0FB9">
        <w:t>Parke-Davis</w:t>
      </w:r>
      <w:r>
        <w:rPr>
          <w:rFonts w:hint="eastAsia"/>
        </w:rPr>
        <w:t>案僅係地方法院的認定，關於</w:t>
      </w:r>
      <w:r>
        <w:rPr>
          <w:rFonts w:cs="新細明體" w:hint="eastAsia"/>
          <w:kern w:val="0"/>
        </w:rPr>
        <w:t>造成不實請求被提出的責任</w:t>
      </w:r>
      <w:r>
        <w:rPr>
          <w:rFonts w:cs="新細明體" w:hint="eastAsia"/>
          <w:kern w:val="0"/>
        </w:rPr>
        <w:lastRenderedPageBreak/>
        <w:t>及因果關係認定之看法</w:t>
      </w:r>
      <w:r>
        <w:rPr>
          <w:rFonts w:hint="eastAsia"/>
        </w:rPr>
        <w:t>並無多大判決先例的價值，但該判決意謂至少有一個聯邦法院認為藥商從事仿單外使用之行銷即有可能負有</w:t>
      </w:r>
      <w:r>
        <w:t>FCA</w:t>
      </w:r>
      <w:r>
        <w:rPr>
          <w:rFonts w:hint="eastAsia"/>
        </w:rPr>
        <w:t>法案之法律責任，無論藥商關於仿單外使用之資訊傳遞是否符合</w:t>
      </w:r>
      <w:r>
        <w:t>FDCA</w:t>
      </w:r>
      <w:r>
        <w:rPr>
          <w:rFonts w:hint="eastAsia"/>
        </w:rPr>
        <w:t>之規定</w:t>
      </w:r>
      <w:r>
        <w:rPr>
          <w:rStyle w:val="ac"/>
        </w:rPr>
        <w:footnoteReference w:id="56"/>
      </w:r>
      <w:r>
        <w:rPr>
          <w:rFonts w:hint="eastAsia"/>
        </w:rPr>
        <w:t>；又因為違反</w:t>
      </w:r>
      <w:r>
        <w:t>FCA</w:t>
      </w:r>
      <w:r>
        <w:rPr>
          <w:rFonts w:hint="eastAsia"/>
        </w:rPr>
        <w:t>法案的法律效果其中一項是得排除藥商參與任何由聯邦政府所資助的醫療照護計劃，對於此項威脅藥商權衡若喪失聯邦醫療保險或援助計劃所涵蓋的患者，對於藥品銷售市場幾乎被排除泰半之利害得失，往往非出於自願與原告就被控訴之</w:t>
      </w:r>
      <w:r>
        <w:t>FCA</w:t>
      </w:r>
      <w:r>
        <w:rPr>
          <w:rFonts w:hint="eastAsia"/>
        </w:rPr>
        <w:t>責任和解，而未經法院審判程序，因此</w:t>
      </w:r>
      <w:r>
        <w:t>FCA</w:t>
      </w:r>
      <w:r>
        <w:rPr>
          <w:rFonts w:hint="eastAsia"/>
        </w:rPr>
        <w:t>的法律責任往往欠缺司法審查</w:t>
      </w:r>
      <w:r>
        <w:rPr>
          <w:rStyle w:val="ac"/>
        </w:rPr>
        <w:footnoteReference w:id="57"/>
      </w:r>
      <w:r>
        <w:rPr>
          <w:rFonts w:hint="eastAsia"/>
        </w:rPr>
        <w:t>，而且</w:t>
      </w:r>
      <w:r w:rsidRPr="00EF66F8">
        <w:rPr>
          <w:rFonts w:ascii="新細明體" w:hAnsi="新細明體" w:cs="標楷體" w:hint="eastAsia"/>
        </w:rPr>
        <w:t>在部分和解中，美國司法部亦與違法者協商企業誠信條款（</w:t>
      </w:r>
      <w:r w:rsidRPr="00EF66F8">
        <w:rPr>
          <w:rFonts w:ascii="新細明體" w:hAnsi="新細明體" w:cs="標楷體"/>
        </w:rPr>
        <w:t>Corporate Integrity Agreement,</w:t>
      </w:r>
      <w:r>
        <w:rPr>
          <w:rFonts w:ascii="新細明體" w:hAnsi="新細明體" w:cs="標楷體"/>
        </w:rPr>
        <w:t xml:space="preserve"> </w:t>
      </w:r>
      <w:r w:rsidRPr="00EF66F8">
        <w:rPr>
          <w:rFonts w:ascii="新細明體" w:hAnsi="新細明體" w:cs="標楷體"/>
        </w:rPr>
        <w:t>CIA</w:t>
      </w:r>
      <w:r w:rsidRPr="00EF66F8">
        <w:rPr>
          <w:rFonts w:ascii="新細明體" w:hAnsi="新細明體" w:cs="標楷體" w:hint="eastAsia"/>
        </w:rPr>
        <w:t>）</w:t>
      </w:r>
      <w:r>
        <w:rPr>
          <w:rFonts w:ascii="新細明體" w:hAnsi="新細明體" w:cs="標楷體" w:hint="eastAsia"/>
        </w:rPr>
        <w:t>，該條款內容中包括</w:t>
      </w:r>
      <w:r w:rsidRPr="00EF66F8">
        <w:rPr>
          <w:rFonts w:hAnsi="新細明體" w:cs="標楷體" w:hint="eastAsia"/>
        </w:rPr>
        <w:t>反</w:t>
      </w:r>
      <w:r w:rsidRPr="00EF66F8">
        <w:rPr>
          <w:rFonts w:hAnsi="標楷體" w:cs="標楷體" w:hint="eastAsia"/>
        </w:rPr>
        <w:t>賄賂、反回扣的承諾，並且包括</w:t>
      </w:r>
      <w:r>
        <w:rPr>
          <w:rFonts w:hAnsi="標楷體" w:cs="標楷體" w:hint="eastAsia"/>
        </w:rPr>
        <w:t>如何遵守相關規範來</w:t>
      </w:r>
      <w:r w:rsidRPr="00EF66F8">
        <w:rPr>
          <w:rFonts w:hAnsi="標楷體" w:cs="標楷體" w:hint="eastAsia"/>
        </w:rPr>
        <w:t>促銷</w:t>
      </w:r>
      <w:r>
        <w:rPr>
          <w:rFonts w:hAnsi="標楷體" w:cs="標楷體" w:hint="eastAsia"/>
        </w:rPr>
        <w:t>藥品的教育訓練計劃</w:t>
      </w:r>
      <w:r w:rsidRPr="00EF66F8">
        <w:rPr>
          <w:rFonts w:ascii="新細明體" w:hAnsi="新細明體" w:cs="標楷體" w:hint="eastAsia"/>
        </w:rPr>
        <w:t>。</w:t>
      </w:r>
      <w:r>
        <w:rPr>
          <w:rFonts w:ascii="新細明體" w:hAnsi="新細明體" w:cs="新細明體" w:hint="eastAsia"/>
          <w:kern w:val="0"/>
          <w:szCs w:val="28"/>
        </w:rPr>
        <w:t>對於違反企業誠信條款的處罰是迅速且嚴厲，對於藥商而言，最嚴重的處分還是被排除在政府醫療照護計劃之外。</w:t>
      </w:r>
      <w:r w:rsidRPr="00EF66F8">
        <w:rPr>
          <w:rFonts w:ascii="新細明體" w:hAnsi="新細明體" w:cs="標楷體" w:hint="eastAsia"/>
          <w:lang w:val="de-DE"/>
        </w:rPr>
        <w:t>美國司法部</w:t>
      </w:r>
      <w:r>
        <w:rPr>
          <w:rFonts w:ascii="新細明體" w:hAnsi="新細明體" w:cs="標楷體" w:hint="eastAsia"/>
          <w:lang w:val="de-DE"/>
        </w:rPr>
        <w:t>以</w:t>
      </w:r>
      <w:r>
        <w:rPr>
          <w:rFonts w:ascii="新細明體" w:hAnsi="新細明體" w:cs="標楷體"/>
          <w:lang w:val="de-DE"/>
        </w:rPr>
        <w:t>FCA</w:t>
      </w:r>
      <w:r>
        <w:rPr>
          <w:rFonts w:ascii="新細明體" w:hAnsi="新細明體" w:cs="標楷體" w:hint="eastAsia"/>
          <w:lang w:val="de-DE"/>
        </w:rPr>
        <w:t>法案作為利器</w:t>
      </w:r>
      <w:r w:rsidRPr="00EF66F8">
        <w:rPr>
          <w:rFonts w:ascii="新細明體" w:hAnsi="新細明體" w:cs="標楷體" w:hint="eastAsia"/>
          <w:lang w:val="de-DE"/>
        </w:rPr>
        <w:t>持續調查超過</w:t>
      </w:r>
      <w:r w:rsidRPr="00EF66F8">
        <w:rPr>
          <w:rFonts w:ascii="新細明體" w:hAnsi="新細明體" w:cs="標楷體"/>
          <w:lang w:val="de-DE"/>
        </w:rPr>
        <w:t>150</w:t>
      </w:r>
      <w:r w:rsidRPr="00EF66F8">
        <w:rPr>
          <w:rFonts w:ascii="新細明體" w:hAnsi="新細明體" w:cs="標楷體" w:hint="eastAsia"/>
          <w:lang w:val="de-DE"/>
        </w:rPr>
        <w:t>家藥商，牽涉超過</w:t>
      </w:r>
      <w:r w:rsidRPr="00EF66F8">
        <w:rPr>
          <w:rFonts w:ascii="新細明體" w:hAnsi="新細明體" w:cs="標楷體"/>
          <w:lang w:val="de-DE"/>
        </w:rPr>
        <w:t>500</w:t>
      </w:r>
      <w:r w:rsidRPr="00EF66F8">
        <w:rPr>
          <w:rFonts w:ascii="新細明體" w:hAnsi="新細明體" w:cs="標楷體" w:hint="eastAsia"/>
          <w:lang w:val="de-DE"/>
        </w:rPr>
        <w:t>種產品</w:t>
      </w:r>
      <w:r>
        <w:rPr>
          <w:rStyle w:val="ac"/>
          <w:rFonts w:ascii="新細明體" w:cs="標楷體"/>
          <w:lang w:val="de-DE"/>
        </w:rPr>
        <w:footnoteReference w:id="58"/>
      </w:r>
      <w:r w:rsidRPr="00EF66F8">
        <w:rPr>
          <w:rFonts w:ascii="新細明體" w:hAnsi="新細明體" w:cs="標楷體" w:hint="eastAsia"/>
          <w:lang w:val="de-DE"/>
        </w:rPr>
        <w:t>。</w:t>
      </w:r>
    </w:p>
    <w:p w:rsidR="00DB326D" w:rsidRPr="004B0FB9" w:rsidRDefault="00DB326D" w:rsidP="00DB326D">
      <w:pPr>
        <w:pStyle w:val="Default"/>
        <w:ind w:firstLineChars="250" w:firstLine="600"/>
        <w:rPr>
          <w:rFonts w:ascii="新細明體" w:eastAsia="新細明體"/>
        </w:rPr>
      </w:pPr>
      <w:r>
        <w:rPr>
          <w:rFonts w:ascii="新細明體" w:eastAsia="新細明體" w:hint="eastAsia"/>
          <w:color w:val="auto"/>
        </w:rPr>
        <w:t>另一個引發的爭議是法院在本案沒有提及所謂仿單外使用之</w:t>
      </w:r>
      <w:r>
        <w:rPr>
          <w:rFonts w:ascii="新細明體" w:eastAsia="新細明體"/>
          <w:color w:val="auto"/>
        </w:rPr>
        <w:t>FCA</w:t>
      </w:r>
      <w:r>
        <w:rPr>
          <w:rFonts w:ascii="新細明體" w:eastAsia="新細明體" w:hint="eastAsia"/>
          <w:color w:val="auto"/>
        </w:rPr>
        <w:t>責任的範圍能否被擴張到個人，假設醫師或藥師均明知仿單外使用處方對於政府提出支付是不適當，理論上如此情形將符合</w:t>
      </w:r>
      <w:r w:rsidRPr="00646B00">
        <w:rPr>
          <w:rFonts w:ascii="Times New Roman" w:eastAsia="新細明體" w:hAnsi="Times New Roman" w:hint="eastAsia"/>
          <w:color w:val="auto"/>
        </w:rPr>
        <w:t>Title 31 section 3729 U.S.C</w:t>
      </w:r>
      <w:r>
        <w:rPr>
          <w:rFonts w:ascii="新細明體" w:eastAsia="新細明體" w:hint="eastAsia"/>
          <w:color w:val="auto"/>
        </w:rPr>
        <w:t>的要件，（</w:t>
      </w:r>
      <w:r>
        <w:rPr>
          <w:rFonts w:ascii="新細明體" w:eastAsia="新細明體"/>
          <w:color w:val="auto"/>
        </w:rPr>
        <w:t>1</w:t>
      </w:r>
      <w:r>
        <w:rPr>
          <w:rFonts w:ascii="新細明體" w:eastAsia="新細明體" w:hint="eastAsia"/>
          <w:color w:val="auto"/>
        </w:rPr>
        <w:t>）虛假聲明；（</w:t>
      </w:r>
      <w:r>
        <w:rPr>
          <w:rFonts w:ascii="新細明體" w:eastAsia="新細明體"/>
          <w:color w:val="auto"/>
        </w:rPr>
        <w:t>2</w:t>
      </w:r>
      <w:r>
        <w:rPr>
          <w:rFonts w:ascii="新細明體" w:eastAsia="新細明體" w:hint="eastAsia"/>
          <w:color w:val="auto"/>
        </w:rPr>
        <w:t>）知悉虛假而為之；（</w:t>
      </w:r>
      <w:r>
        <w:rPr>
          <w:rFonts w:ascii="新細明體" w:eastAsia="新細明體"/>
          <w:color w:val="auto"/>
        </w:rPr>
        <w:t>3</w:t>
      </w:r>
      <w:r>
        <w:rPr>
          <w:rFonts w:ascii="新細明體" w:eastAsia="新細明體" w:hint="eastAsia"/>
          <w:color w:val="auto"/>
        </w:rPr>
        <w:t>）聯邦政府依賴醫師及藥師的陳述；（</w:t>
      </w:r>
      <w:r>
        <w:rPr>
          <w:rFonts w:ascii="新細明體" w:eastAsia="新細明體"/>
          <w:color w:val="auto"/>
        </w:rPr>
        <w:t>4</w:t>
      </w:r>
      <w:r>
        <w:rPr>
          <w:rFonts w:ascii="新細明體" w:eastAsia="新細明體" w:hint="eastAsia"/>
          <w:color w:val="auto"/>
        </w:rPr>
        <w:t>）因此政府支付金錢，然而，什麼範圍的仿單外使用會使醫師和其他醫療服務提供者需要去擔憂可能須負擔</w:t>
      </w:r>
      <w:r>
        <w:rPr>
          <w:rFonts w:ascii="新細明體" w:eastAsia="新細明體"/>
          <w:color w:val="auto"/>
        </w:rPr>
        <w:t>FCA</w:t>
      </w:r>
      <w:r>
        <w:rPr>
          <w:rFonts w:ascii="新細明體" w:eastAsia="新細明體" w:hint="eastAsia"/>
          <w:color w:val="auto"/>
        </w:rPr>
        <w:t>責任是不清楚，也在這判決後留下疑問</w:t>
      </w:r>
      <w:r>
        <w:rPr>
          <w:rStyle w:val="ac"/>
          <w:rFonts w:ascii="新細明體" w:eastAsia="新細明體" w:cs="LiHei Pro"/>
          <w:color w:val="auto"/>
        </w:rPr>
        <w:footnoteReference w:id="59"/>
      </w:r>
      <w:r>
        <w:rPr>
          <w:rFonts w:ascii="新細明體" w:eastAsia="新細明體" w:hint="eastAsia"/>
          <w:color w:val="auto"/>
        </w:rPr>
        <w:t>。</w:t>
      </w:r>
    </w:p>
    <w:p w:rsidR="00DB326D" w:rsidRPr="0001250F" w:rsidRDefault="00DB326D" w:rsidP="00DB326D">
      <w:pPr>
        <w:widowControl/>
        <w:spacing w:before="100" w:beforeAutospacing="1" w:after="100" w:afterAutospacing="1"/>
        <w:ind w:left="280" w:hangingChars="100" w:hanging="280"/>
        <w:rPr>
          <w:sz w:val="28"/>
          <w:szCs w:val="28"/>
        </w:rPr>
      </w:pPr>
      <w:r w:rsidRPr="0001250F">
        <w:rPr>
          <w:rFonts w:hint="eastAsia"/>
          <w:sz w:val="28"/>
          <w:szCs w:val="28"/>
        </w:rPr>
        <w:t>二、醫師</w:t>
      </w:r>
    </w:p>
    <w:p w:rsidR="00DB326D" w:rsidRDefault="00DB326D" w:rsidP="00DB326D">
      <w:pPr>
        <w:widowControl/>
        <w:spacing w:before="100" w:beforeAutospacing="1" w:after="100" w:afterAutospacing="1"/>
        <w:ind w:left="240" w:hangingChars="100" w:hanging="240"/>
      </w:pPr>
      <w:r>
        <w:rPr>
          <w:rFonts w:hint="eastAsia"/>
        </w:rPr>
        <w:t>（一）適用</w:t>
      </w:r>
      <w:r w:rsidRPr="0001250F">
        <w:rPr>
          <w:rFonts w:hint="eastAsia"/>
        </w:rPr>
        <w:t>告知後同意</w:t>
      </w:r>
      <w:r>
        <w:rPr>
          <w:rFonts w:hint="eastAsia"/>
        </w:rPr>
        <w:t>原則管制仿單外使用</w:t>
      </w:r>
    </w:p>
    <w:p w:rsidR="00DB326D" w:rsidRDefault="00DB326D" w:rsidP="00DB326D">
      <w:pPr>
        <w:widowControl/>
        <w:spacing w:before="100" w:beforeAutospacing="1" w:after="100" w:afterAutospacing="1"/>
        <w:ind w:leftChars="-100" w:hangingChars="100" w:hanging="240"/>
      </w:pPr>
      <w:r>
        <w:t xml:space="preserve">    1</w:t>
      </w:r>
      <w:r>
        <w:rPr>
          <w:rFonts w:hint="eastAsia"/>
        </w:rPr>
        <w:t>、仿單外使用之安全性說明及有效性之說明</w:t>
      </w:r>
      <w:r>
        <w:t xml:space="preserve"> </w:t>
      </w:r>
    </w:p>
    <w:p w:rsidR="00DB326D" w:rsidRDefault="00DB326D" w:rsidP="00DB326D">
      <w:pPr>
        <w:widowControl/>
        <w:spacing w:before="100" w:beforeAutospacing="1" w:after="100" w:afterAutospacing="1"/>
        <w:ind w:leftChars="-100" w:hangingChars="100" w:hanging="240"/>
        <w:rPr>
          <w:rFonts w:ascii="Arial" w:hAnsi="Arial" w:cs="Arial"/>
          <w:color w:val="000000"/>
        </w:rPr>
      </w:pPr>
      <w:r>
        <w:t xml:space="preserve">      </w:t>
      </w:r>
      <w:r>
        <w:rPr>
          <w:rFonts w:hint="eastAsia"/>
        </w:rPr>
        <w:t>在法院實務並無認為仿單外使用應列為告知同意原則下要求醫師去揭露所為用藥處方是仿單外使用，在</w:t>
      </w:r>
      <w:r>
        <w:t>Bone Screw</w:t>
      </w:r>
      <w:r>
        <w:rPr>
          <w:rFonts w:hint="eastAsia"/>
        </w:rPr>
        <w:t>案例</w:t>
      </w:r>
      <w:r>
        <w:rPr>
          <w:rStyle w:val="ac"/>
        </w:rPr>
        <w:footnoteReference w:id="60"/>
      </w:r>
      <w:r>
        <w:rPr>
          <w:rFonts w:hint="eastAsia"/>
        </w:rPr>
        <w:t>，骨頭螺旋（是一種醫療器材用於植入）是被</w:t>
      </w:r>
      <w:r>
        <w:t>FDA</w:t>
      </w:r>
      <w:r>
        <w:rPr>
          <w:rFonts w:hint="eastAsia"/>
        </w:rPr>
        <w:t>核准對於長骨或平骨（例如大腿或手臂骨頭）手術，被仿單外使用於脊柱湊合術（</w:t>
      </w:r>
      <w:r>
        <w:rPr>
          <w:rFonts w:ascii="Arial" w:hAnsi="Arial" w:cs="Arial"/>
          <w:color w:val="000000"/>
        </w:rPr>
        <w:t>spinal fusion</w:t>
      </w:r>
      <w:r>
        <w:rPr>
          <w:rFonts w:ascii="Arial" w:hAnsi="Arial" w:cs="Arial" w:hint="eastAsia"/>
          <w:color w:val="000000"/>
        </w:rPr>
        <w:t>）</w:t>
      </w:r>
      <w:r>
        <w:rPr>
          <w:rStyle w:val="ac"/>
          <w:rFonts w:ascii="Arial" w:hAnsi="Arial" w:cs="Arial"/>
          <w:color w:val="000000"/>
        </w:rPr>
        <w:footnoteReference w:id="61"/>
      </w:r>
      <w:r>
        <w:rPr>
          <w:rFonts w:ascii="Arial" w:hAnsi="Arial" w:cs="Arial" w:hint="eastAsia"/>
          <w:color w:val="000000"/>
        </w:rPr>
        <w:t>，法院認為缺乏</w:t>
      </w:r>
      <w:r>
        <w:rPr>
          <w:rFonts w:ascii="Arial" w:hAnsi="Arial" w:cs="Arial"/>
          <w:color w:val="000000"/>
        </w:rPr>
        <w:t>FDA</w:t>
      </w:r>
      <w:r>
        <w:rPr>
          <w:rFonts w:ascii="Arial" w:hAnsi="Arial" w:cs="Arial" w:hint="eastAsia"/>
          <w:color w:val="000000"/>
        </w:rPr>
        <w:t>核准不是告知患者是否決定手術的重要事項。在反對仿單外使用納入應說明事項的理由之一是在於他們主張揭露會過度打擊那些認為缺乏</w:t>
      </w:r>
      <w:r>
        <w:rPr>
          <w:rFonts w:ascii="Arial" w:hAnsi="Arial" w:cs="Arial"/>
          <w:color w:val="000000"/>
        </w:rPr>
        <w:t>FDA</w:t>
      </w:r>
      <w:r>
        <w:rPr>
          <w:rFonts w:ascii="Arial" w:hAnsi="Arial" w:cs="Arial" w:hint="eastAsia"/>
          <w:color w:val="000000"/>
        </w:rPr>
        <w:t>核准等同不核准之患者，導致他們拒絕最佳治療，並且主張要求揭露仿單外使用會過度加重醫師的負擔，使他們從醫學文獻之注意分心至</w:t>
      </w:r>
      <w:r>
        <w:rPr>
          <w:rFonts w:ascii="Arial" w:hAnsi="Arial" w:cs="Arial"/>
          <w:color w:val="000000"/>
        </w:rPr>
        <w:t>FDA</w:t>
      </w:r>
      <w:r>
        <w:rPr>
          <w:rFonts w:ascii="Arial" w:hAnsi="Arial" w:cs="Arial" w:hint="eastAsia"/>
          <w:color w:val="000000"/>
        </w:rPr>
        <w:t>的行政規範。然而，</w:t>
      </w:r>
      <w:r>
        <w:rPr>
          <w:rFonts w:ascii="Arial" w:hAnsi="Arial" w:cs="Arial" w:hint="eastAsia"/>
          <w:color w:val="000000"/>
        </w:rPr>
        <w:t>,</w:t>
      </w:r>
      <w:r>
        <w:rPr>
          <w:rFonts w:ascii="Arial" w:hAnsi="Arial" w:cs="Arial" w:hint="eastAsia"/>
          <w:color w:val="000000"/>
        </w:rPr>
        <w:t>這些看法有學者認為無法體現</w:t>
      </w:r>
      <w:r>
        <w:rPr>
          <w:rFonts w:ascii="Arial" w:hAnsi="Arial" w:cs="Arial" w:hint="eastAsia"/>
          <w:color w:val="000000"/>
        </w:rPr>
        <w:lastRenderedPageBreak/>
        <w:t>告知後同意原則下之患者自主決定權。就適當性而言，在</w:t>
      </w:r>
      <w:r>
        <w:rPr>
          <w:rFonts w:ascii="Arial" w:hAnsi="Arial" w:cs="Arial"/>
          <w:color w:val="000000"/>
        </w:rPr>
        <w:t>FDA</w:t>
      </w:r>
      <w:r>
        <w:rPr>
          <w:rFonts w:ascii="Arial" w:hAnsi="Arial" w:cs="Arial" w:hint="eastAsia"/>
          <w:color w:val="000000"/>
        </w:rPr>
        <w:t>嚴格標準下，一種藥未經證明安全性與對於特定用途治療之有效性，對於患者是否服用這藥物的決定當然是有關係，雖然未經核准並非意味這藥是危險或無效，但是它提高了關於安全性及有效性的憂慮，患者必須衡量因未經證明對於用藥目的是有效且安全性時，甚至可能有害或無效，至少醫師應告知是否有</w:t>
      </w:r>
      <w:r>
        <w:rPr>
          <w:rFonts w:ascii="Arial" w:hAnsi="Arial" w:cs="Arial"/>
          <w:color w:val="000000"/>
        </w:rPr>
        <w:t>FDA</w:t>
      </w:r>
      <w:r>
        <w:rPr>
          <w:rFonts w:ascii="Arial" w:hAnsi="Arial" w:cs="Arial" w:hint="eastAsia"/>
          <w:color w:val="000000"/>
        </w:rPr>
        <w:t>核准之替代治療及為何醫師建議仿單外使用</w:t>
      </w:r>
      <w:r>
        <w:rPr>
          <w:rStyle w:val="ac"/>
          <w:rFonts w:ascii="Arial" w:hAnsi="Arial" w:cs="Arial"/>
          <w:color w:val="000000"/>
        </w:rPr>
        <w:footnoteReference w:id="62"/>
      </w:r>
      <w:r>
        <w:rPr>
          <w:rFonts w:ascii="Arial" w:hAnsi="Arial" w:cs="Arial" w:hint="eastAsia"/>
          <w:color w:val="000000"/>
        </w:rPr>
        <w:t>，例如以癌症患者為例，一些患者將會有意願去嘗試仿單外使用之治療，因為在面臨嚴重疾病時，將會想像有很大治癒率可能遠大於治療風險，但也有些人不會這麼想，寧願專注於剩餘生命的品質，而不願去經歷未經研究支持的仿單外使用治療之風險。在這些情況下，患者應該被告知所需之資訊而去做出極度個人化的決定。其次，所謂害怕患者因揭露仿單外使用而過度恐懼，認為真實訊息提供給患者，他們沒有辦法做出令人滿意的醫療決定，這種看法已是父權式醫療關係下的思維，與告知同意原則之價值不相符合，況且在告知同意原則之例外，因告知有害於患者健康之情形醫師得免為說明，已排除告知後同意原則之適用</w:t>
      </w:r>
      <w:r>
        <w:rPr>
          <w:rStyle w:val="ac"/>
          <w:rFonts w:ascii="Arial" w:hAnsi="Arial"/>
          <w:color w:val="000000"/>
        </w:rPr>
        <w:footnoteReference w:id="63"/>
      </w:r>
      <w:r>
        <w:rPr>
          <w:rFonts w:ascii="Arial" w:hAnsi="Arial" w:cs="Arial" w:hint="eastAsia"/>
          <w:color w:val="000000"/>
        </w:rPr>
        <w:t>，即無法再以仿單外使用之揭露會阻擋過度膽小患者選擇最佳治療。特別是仿單外使用通常關於安全性與有效性是未被證明，與</w:t>
      </w:r>
      <w:r>
        <w:rPr>
          <w:rFonts w:ascii="Arial" w:hAnsi="Arial" w:cs="Arial"/>
          <w:color w:val="000000"/>
        </w:rPr>
        <w:t>FDA</w:t>
      </w:r>
      <w:r>
        <w:rPr>
          <w:rFonts w:ascii="Arial" w:hAnsi="Arial" w:cs="Arial" w:hint="eastAsia"/>
          <w:color w:val="000000"/>
        </w:rPr>
        <w:t>核准藥物相比，可能更有效、相同有效、較無效、完全無效，或事實上有害，許多案例醫師完全不知，因為藥商需要銷售藥，所以患者必須吃藥，有誰知道它是否有效？事實上，醫師被誇大的藥商所誤導而過度自信為仿單外使用，醫師根據藥商所提供不可信賴之研究或在美食晚餐中所傳遞之訊息，蒙蔽醫師的判斷。是以，應該賦予患者經醫師詳細告知仿單外使用之目的、安全性與其他替代治療性之比較後之自主決定權。此外，對於藥物之用途是否為</w:t>
      </w:r>
      <w:r>
        <w:rPr>
          <w:rFonts w:ascii="Arial" w:hAnsi="Arial" w:cs="Arial"/>
          <w:color w:val="000000"/>
        </w:rPr>
        <w:t>FDA</w:t>
      </w:r>
      <w:r>
        <w:rPr>
          <w:rFonts w:ascii="Arial" w:hAnsi="Arial" w:cs="Arial" w:hint="eastAsia"/>
          <w:color w:val="000000"/>
        </w:rPr>
        <w:t>所核准之使用資訊取得，透過網路查詢越來越容易，</w:t>
      </w:r>
      <w:r>
        <w:rPr>
          <w:rFonts w:ascii="Arial" w:hAnsi="Arial" w:cs="Arial"/>
          <w:color w:val="000000"/>
        </w:rPr>
        <w:t>2006</w:t>
      </w:r>
      <w:r>
        <w:rPr>
          <w:rFonts w:ascii="Arial" w:hAnsi="Arial" w:cs="Arial" w:hint="eastAsia"/>
          <w:color w:val="000000"/>
        </w:rPr>
        <w:t>年</w:t>
      </w:r>
      <w:r>
        <w:rPr>
          <w:rFonts w:ascii="Arial" w:hAnsi="Arial" w:cs="Arial"/>
          <w:color w:val="000000"/>
        </w:rPr>
        <w:t>6</w:t>
      </w:r>
      <w:r>
        <w:rPr>
          <w:rFonts w:ascii="Arial" w:hAnsi="Arial" w:cs="Arial" w:hint="eastAsia"/>
          <w:color w:val="000000"/>
        </w:rPr>
        <w:t>月</w:t>
      </w:r>
      <w:r>
        <w:rPr>
          <w:rFonts w:ascii="Arial" w:hAnsi="Arial" w:cs="Arial"/>
          <w:color w:val="000000"/>
        </w:rPr>
        <w:t>FDA</w:t>
      </w:r>
      <w:r>
        <w:rPr>
          <w:rFonts w:ascii="Arial" w:hAnsi="Arial" w:cs="Arial" w:hint="eastAsia"/>
          <w:color w:val="000000"/>
        </w:rPr>
        <w:t>要求藥商去提供處方藥</w:t>
      </w:r>
      <w:r>
        <w:rPr>
          <w:rFonts w:ascii="Arial" w:hAnsi="Arial" w:cs="Arial"/>
          <w:color w:val="000000"/>
        </w:rPr>
        <w:t>FDA</w:t>
      </w:r>
      <w:r>
        <w:rPr>
          <w:rFonts w:ascii="Arial" w:hAnsi="Arial" w:cs="Arial" w:hint="eastAsia"/>
          <w:color w:val="000000"/>
        </w:rPr>
        <w:t>核准的使用和副作用以電腦格式標準化及簡化，使得醫師更容易取得相關訊息，亦不致產生所謂醫師注意力過度負擔之問題</w:t>
      </w:r>
      <w:r>
        <w:rPr>
          <w:rStyle w:val="ac"/>
          <w:rFonts w:ascii="Arial" w:hAnsi="Arial" w:cs="Arial"/>
          <w:color w:val="000000"/>
        </w:rPr>
        <w:footnoteReference w:id="64"/>
      </w:r>
      <w:r>
        <w:rPr>
          <w:rFonts w:ascii="Arial" w:hAnsi="Arial" w:cs="Arial" w:hint="eastAsia"/>
          <w:color w:val="000000"/>
        </w:rPr>
        <w:t>。</w:t>
      </w:r>
      <w:r>
        <w:rPr>
          <w:rFonts w:ascii="Arial" w:hAnsi="Arial" w:cs="Arial"/>
          <w:color w:val="000000"/>
        </w:rPr>
        <w:br/>
        <w:t xml:space="preserve">    </w:t>
      </w:r>
      <w:r>
        <w:rPr>
          <w:rFonts w:ascii="Arial" w:hAnsi="Arial" w:cs="Arial" w:hint="eastAsia"/>
          <w:color w:val="000000"/>
        </w:rPr>
        <w:t>少數法院認為當治療未取得</w:t>
      </w:r>
      <w:r>
        <w:rPr>
          <w:rFonts w:ascii="Arial" w:hAnsi="Arial" w:cs="Arial"/>
          <w:color w:val="000000"/>
        </w:rPr>
        <w:t>FDA</w:t>
      </w:r>
      <w:r>
        <w:rPr>
          <w:rFonts w:ascii="Arial" w:hAnsi="Arial" w:cs="Arial" w:hint="eastAsia"/>
          <w:color w:val="000000"/>
        </w:rPr>
        <w:t>核准同意而應被認為係實驗研究性質，應該揭露而有告知同意原則之適用，例如，</w:t>
      </w:r>
      <w:r>
        <w:rPr>
          <w:rFonts w:ascii="Arial" w:hAnsi="Arial" w:cs="Arial"/>
          <w:color w:val="000000"/>
        </w:rPr>
        <w:t>Ahern v. Veterans Admin</w:t>
      </w:r>
      <w:r>
        <w:rPr>
          <w:rStyle w:val="ac"/>
          <w:rFonts w:ascii="Arial" w:hAnsi="Arial" w:cs="Arial"/>
          <w:color w:val="000000"/>
        </w:rPr>
        <w:footnoteReference w:id="65"/>
      </w:r>
      <w:r>
        <w:rPr>
          <w:rFonts w:ascii="Arial" w:hAnsi="Arial" w:cs="Arial" w:hint="eastAsia"/>
          <w:color w:val="000000"/>
        </w:rPr>
        <w:t>案例中，醫師將其在醫學會議所習得異於通常使用高劑量放射線治療其患者，而未告知係背離於標準模式之治療，此時告知同意原則應有適用。又例如在</w:t>
      </w:r>
      <w:r>
        <w:rPr>
          <w:rFonts w:ascii="Arial" w:hAnsi="Arial" w:cs="Arial"/>
          <w:color w:val="000000"/>
        </w:rPr>
        <w:t xml:space="preserve">Corrigan </w:t>
      </w:r>
      <w:r>
        <w:rPr>
          <w:rFonts w:ascii="Arial" w:hAnsi="Arial" w:cs="Arial" w:hint="eastAsia"/>
          <w:color w:val="000000"/>
        </w:rPr>
        <w:t>v</w:t>
      </w:r>
      <w:r>
        <w:rPr>
          <w:rFonts w:ascii="Arial" w:hAnsi="Arial" w:cs="Arial"/>
          <w:color w:val="000000"/>
        </w:rPr>
        <w:t>. Methodist Hosp</w:t>
      </w:r>
      <w:r>
        <w:rPr>
          <w:rStyle w:val="ac"/>
          <w:rFonts w:ascii="Arial" w:hAnsi="Arial" w:cs="Arial"/>
          <w:color w:val="000000"/>
        </w:rPr>
        <w:footnoteReference w:id="66"/>
      </w:r>
      <w:r>
        <w:rPr>
          <w:rFonts w:ascii="Arial" w:hAnsi="Arial" w:cs="Arial" w:hint="eastAsia"/>
          <w:color w:val="000000"/>
        </w:rPr>
        <w:t>案例中是指實驗性骨頭螺旋醫療器材應該適用告知同意原則，但事實上實驗性治療與標準治療有時很難二分法而予以區別。大部分患者面對醫師注射一種陌生物質時，會想像這樣的物質已被官方檢驗和核准，明示或暗示依賴這種想像作為同意治療的基礎，醫師應該揭露欠缺</w:t>
      </w:r>
      <w:r>
        <w:rPr>
          <w:rFonts w:ascii="Arial" w:hAnsi="Arial" w:cs="Arial"/>
          <w:color w:val="000000"/>
        </w:rPr>
        <w:t>FDA</w:t>
      </w:r>
      <w:r>
        <w:rPr>
          <w:rFonts w:ascii="Arial" w:hAnsi="Arial" w:cs="Arial" w:hint="eastAsia"/>
          <w:color w:val="000000"/>
        </w:rPr>
        <w:t>核准以便患者可以把不確定和潛在風險列入決定的考量，而非就治療再區分實驗性或非實驗性。</w:t>
      </w:r>
    </w:p>
    <w:p w:rsidR="00DB326D" w:rsidRDefault="00DB326D" w:rsidP="00DB326D">
      <w:pPr>
        <w:widowControl/>
        <w:spacing w:before="100" w:beforeAutospacing="1" w:after="100" w:afterAutospacing="1"/>
        <w:ind w:leftChars="-100" w:hangingChars="100" w:hanging="240"/>
      </w:pPr>
      <w:r>
        <w:rPr>
          <w:rFonts w:ascii="Arial" w:hAnsi="Arial" w:cs="Arial"/>
          <w:color w:val="000000"/>
        </w:rPr>
        <w:lastRenderedPageBreak/>
        <w:t xml:space="preserve"> </w:t>
      </w:r>
      <w:r>
        <w:t xml:space="preserve">  2</w:t>
      </w:r>
      <w:r>
        <w:rPr>
          <w:rFonts w:hint="eastAsia"/>
        </w:rPr>
        <w:t>、仿單外使用之利益衝突說明</w:t>
      </w:r>
      <w:r>
        <w:t xml:space="preserve">  </w:t>
      </w:r>
    </w:p>
    <w:p w:rsidR="00DB326D" w:rsidRDefault="00DB326D" w:rsidP="00DB326D">
      <w:pPr>
        <w:widowControl/>
        <w:spacing w:before="100" w:beforeAutospacing="1" w:after="100" w:afterAutospacing="1"/>
        <w:ind w:leftChars="-100" w:hangingChars="100" w:hanging="240"/>
      </w:pPr>
      <w:r>
        <w:t xml:space="preserve">      </w:t>
      </w:r>
      <w:r>
        <w:rPr>
          <w:rFonts w:hint="eastAsia"/>
        </w:rPr>
        <w:t>最後針對醫師與藥商的關係，雖然醫師否認開藥決定受藥商影響，但免費繼續醫學教育直接導致增加開藥，醫師被藥商簽為演講者、顧問或接受藥商贈禮、樣本，藥商與醫師間有經濟上關係擁有更大影響，藥商影響醫師關於開藥決定是不被患者知悉，顯然產生利益衝突。在</w:t>
      </w:r>
      <w:r>
        <w:rPr>
          <w:rFonts w:hint="eastAsia"/>
        </w:rPr>
        <w:t>J</w:t>
      </w:r>
      <w:r>
        <w:t xml:space="preserve">ohn Moore v. The Regents of The University of </w:t>
      </w:r>
      <w:proofErr w:type="spellStart"/>
      <w:r>
        <w:t>CaliforniaMoore</w:t>
      </w:r>
      <w:proofErr w:type="spellEnd"/>
      <w:r>
        <w:rPr>
          <w:rFonts w:hint="eastAsia"/>
        </w:rPr>
        <w:t>案原告（</w:t>
      </w:r>
      <w:r>
        <w:t>John Moore</w:t>
      </w:r>
      <w:r>
        <w:rPr>
          <w:rFonts w:hint="eastAsia"/>
        </w:rPr>
        <w:t>）治療髮狀細胞白血病（</w:t>
      </w:r>
      <w:r>
        <w:t>hairy-cell leukemia</w:t>
      </w:r>
      <w:r>
        <w:rPr>
          <w:rFonts w:hint="eastAsia"/>
        </w:rPr>
        <w:t>），住院治療期間被抽大量血液、抽取骨髓、和其他身體物質，當時被告們都知道血液產品與血液成分是具有一連串經濟上及科學成果的龐大價值，原告簽署同意進行脾臟切除手術，在手術之前被告們已就原告切除下之脾臟做好研究分配，亦未通知或得到原告同意有此研究計劃。被告從原告Ｔ型淋巴細胞培養出細胞株，並使用細胞株產生淋巴激活素，原告主張在生物科技工業上那些物質之生產價值</w:t>
      </w:r>
      <w:r>
        <w:t>30</w:t>
      </w:r>
      <w:r>
        <w:rPr>
          <w:rFonts w:hint="eastAsia"/>
        </w:rPr>
        <w:t>億美元。加州最高法院就原告主張被告違反告知後同意部分認為，第一、基於成年人與具有健全心智之人，就其控制自我身體上，有權利決定接受或不接受合法的治療；第二、所謂有效同意治療，必須是被告知後之同意；第三、在獲病患同意之上，醫生有一忠實義務去揭露所有重要的資訊給予之患者決定。基此，醫生必須揭露無關於患者健康，但事涉影響專業判斷之個人利益（無論是研究上或經濟上利益），這是為了保護患者免除可能的利益衝突</w:t>
      </w:r>
      <w:r>
        <w:rPr>
          <w:rStyle w:val="ac"/>
        </w:rPr>
        <w:footnoteReference w:id="67"/>
      </w:r>
      <w:r>
        <w:rPr>
          <w:rFonts w:hint="eastAsia"/>
        </w:rPr>
        <w:t>（醫生可能基於衡量自身經濟上之利益與治療對於患者之危險性後始作出醫療方針）。由此判決可以得出雖非治療患者之資訊，但只要可能影響醫生醫療處置上的判斷，雖屬於醫生個人利益（甚至隱私），仍須向患者說明，以提供患者是否接受醫療處置之評估因素。</w:t>
      </w:r>
    </w:p>
    <w:p w:rsidR="00DB326D" w:rsidRDefault="00DB326D" w:rsidP="00DB326D">
      <w:pPr>
        <w:widowControl/>
        <w:spacing w:before="100" w:beforeAutospacing="1" w:after="100" w:afterAutospacing="1"/>
        <w:ind w:leftChars="-100" w:hangingChars="100" w:hanging="240"/>
      </w:pPr>
      <w:r>
        <w:t xml:space="preserve">   3</w:t>
      </w:r>
      <w:r>
        <w:rPr>
          <w:rFonts w:hint="eastAsia"/>
        </w:rPr>
        <w:t>、部分學者看法</w:t>
      </w:r>
    </w:p>
    <w:p w:rsidR="00DB326D" w:rsidRDefault="00DB326D" w:rsidP="00DB326D">
      <w:pPr>
        <w:ind w:firstLineChars="225" w:firstLine="540"/>
      </w:pPr>
      <w:r>
        <w:rPr>
          <w:rFonts w:hint="eastAsia"/>
        </w:rPr>
        <w:t>因此，從仿單外使用藥物之安全性、有效性的說明或者有仿單外使用有無其他</w:t>
      </w:r>
      <w:r>
        <w:t>FDA</w:t>
      </w:r>
      <w:r>
        <w:rPr>
          <w:rFonts w:hint="eastAsia"/>
        </w:rPr>
        <w:t>核准之替代性治療說明，甚或醫師與藥廠間與醫師與患者間利益衝突的說明，學者</w:t>
      </w:r>
      <w:r>
        <w:rPr>
          <w:rStyle w:val="ac"/>
        </w:rPr>
        <w:footnoteReference w:id="68"/>
      </w:r>
      <w:r>
        <w:rPr>
          <w:rFonts w:hint="eastAsia"/>
        </w:rPr>
        <w:t>認為仿單外使用均應有告知後同意原則之適用，而就藥品仿單外使用應告知事項如下：</w:t>
      </w:r>
    </w:p>
    <w:p w:rsidR="00DB326D" w:rsidRDefault="00DB326D" w:rsidP="00DB326D">
      <w:pPr>
        <w:numPr>
          <w:ilvl w:val="0"/>
          <w:numId w:val="25"/>
        </w:numPr>
        <w:tabs>
          <w:tab w:val="clear" w:pos="0"/>
          <w:tab w:val="num" w:pos="720"/>
        </w:tabs>
      </w:pPr>
      <w:r>
        <w:rPr>
          <w:rFonts w:hint="eastAsia"/>
        </w:rPr>
        <w:t>這種情況的治療是否為</w:t>
      </w:r>
      <w:r>
        <w:t>FDA</w:t>
      </w:r>
      <w:r>
        <w:rPr>
          <w:rFonts w:hint="eastAsia"/>
        </w:rPr>
        <w:t>核准？</w:t>
      </w:r>
    </w:p>
    <w:p w:rsidR="00DB326D" w:rsidRDefault="00DB326D" w:rsidP="00DB326D">
      <w:pPr>
        <w:numPr>
          <w:ilvl w:val="0"/>
          <w:numId w:val="25"/>
        </w:numPr>
        <w:tabs>
          <w:tab w:val="clear" w:pos="0"/>
          <w:tab w:val="num" w:pos="720"/>
        </w:tabs>
      </w:pPr>
      <w:r>
        <w:rPr>
          <w:rFonts w:hint="eastAsia"/>
        </w:rPr>
        <w:t>如果沒有核准，是否有</w:t>
      </w:r>
      <w:r>
        <w:t>FDA</w:t>
      </w:r>
      <w:r>
        <w:rPr>
          <w:rFonts w:hint="eastAsia"/>
        </w:rPr>
        <w:t>核准之替代性治療</w:t>
      </w:r>
    </w:p>
    <w:p w:rsidR="00DB326D" w:rsidRDefault="00DB326D" w:rsidP="00DB326D">
      <w:pPr>
        <w:numPr>
          <w:ilvl w:val="0"/>
          <w:numId w:val="25"/>
        </w:numPr>
        <w:tabs>
          <w:tab w:val="clear" w:pos="0"/>
          <w:tab w:val="num" w:pos="720"/>
        </w:tabs>
      </w:pPr>
      <w:r>
        <w:rPr>
          <w:rFonts w:hint="eastAsia"/>
        </w:rPr>
        <w:t>如果這樣仿單外使用之利益有何大於</w:t>
      </w:r>
      <w:r>
        <w:t>FDA</w:t>
      </w:r>
      <w:r>
        <w:rPr>
          <w:rFonts w:hint="eastAsia"/>
        </w:rPr>
        <w:t>核准之替代性治療？</w:t>
      </w:r>
    </w:p>
    <w:p w:rsidR="00DB326D" w:rsidRDefault="00DB326D" w:rsidP="00DB326D">
      <w:pPr>
        <w:numPr>
          <w:ilvl w:val="0"/>
          <w:numId w:val="25"/>
        </w:numPr>
        <w:tabs>
          <w:tab w:val="clear" w:pos="0"/>
          <w:tab w:val="num" w:pos="720"/>
        </w:tabs>
      </w:pPr>
      <w:r>
        <w:rPr>
          <w:rFonts w:hint="eastAsia"/>
        </w:rPr>
        <w:t>是否有學名藥之替代性治療？</w:t>
      </w:r>
    </w:p>
    <w:p w:rsidR="00DB326D" w:rsidRDefault="00DB326D" w:rsidP="00DB326D">
      <w:pPr>
        <w:numPr>
          <w:ilvl w:val="0"/>
          <w:numId w:val="25"/>
        </w:numPr>
        <w:tabs>
          <w:tab w:val="clear" w:pos="0"/>
          <w:tab w:val="num" w:pos="720"/>
        </w:tabs>
      </w:pPr>
      <w:r>
        <w:rPr>
          <w:rFonts w:hint="eastAsia"/>
        </w:rPr>
        <w:t>如果有的話，仿單外使用之利益有何大於學名藥之替代性治療？</w:t>
      </w:r>
    </w:p>
    <w:p w:rsidR="00DB326D" w:rsidRDefault="00DB326D" w:rsidP="00DB326D">
      <w:pPr>
        <w:numPr>
          <w:ilvl w:val="0"/>
          <w:numId w:val="25"/>
        </w:numPr>
        <w:tabs>
          <w:tab w:val="clear" w:pos="0"/>
          <w:tab w:val="num" w:pos="720"/>
        </w:tabs>
      </w:pPr>
      <w:r>
        <w:rPr>
          <w:rFonts w:hint="eastAsia"/>
        </w:rPr>
        <w:t>仿單外使用有無研究支持？仿單外使用之資訊來源為何？研究報告發表</w:t>
      </w:r>
    </w:p>
    <w:p w:rsidR="00DB326D" w:rsidRDefault="00DB326D" w:rsidP="00DB326D">
      <w:pPr>
        <w:tabs>
          <w:tab w:val="num" w:pos="720"/>
        </w:tabs>
      </w:pPr>
      <w:r>
        <w:t xml:space="preserve">      </w:t>
      </w:r>
      <w:r>
        <w:rPr>
          <w:rFonts w:hint="eastAsia"/>
        </w:rPr>
        <w:t>的醫學期刊等級？依賴的資訊是否藥商代表提供？</w:t>
      </w:r>
    </w:p>
    <w:p w:rsidR="00DB326D" w:rsidRDefault="00DB326D" w:rsidP="00DB326D">
      <w:pPr>
        <w:ind w:leftChars="-75" w:left="1080" w:hangingChars="525" w:hanging="1260"/>
      </w:pPr>
      <w:r>
        <w:t xml:space="preserve">  </w:t>
      </w:r>
      <w:r>
        <w:rPr>
          <w:rFonts w:hint="eastAsia"/>
        </w:rPr>
        <w:t>就利益衝突應告知事項如下：</w:t>
      </w:r>
    </w:p>
    <w:p w:rsidR="00DB326D" w:rsidRDefault="00DB326D" w:rsidP="00DB326D">
      <w:pPr>
        <w:numPr>
          <w:ilvl w:val="0"/>
          <w:numId w:val="26"/>
        </w:numPr>
        <w:tabs>
          <w:tab w:val="clear" w:pos="480"/>
          <w:tab w:val="num" w:pos="180"/>
        </w:tabs>
        <w:ind w:left="720" w:hanging="720"/>
      </w:pPr>
      <w:r>
        <w:rPr>
          <w:rFonts w:hint="eastAsia"/>
        </w:rPr>
        <w:lastRenderedPageBreak/>
        <w:t>是否與藥商有經濟上之牽連，包括股票擁有、顧問契約、演講合約？</w:t>
      </w:r>
    </w:p>
    <w:p w:rsidR="00DB326D" w:rsidRDefault="00DB326D" w:rsidP="00DB326D">
      <w:pPr>
        <w:numPr>
          <w:ilvl w:val="0"/>
          <w:numId w:val="26"/>
        </w:numPr>
        <w:tabs>
          <w:tab w:val="clear" w:pos="480"/>
          <w:tab w:val="num" w:pos="720"/>
        </w:tabs>
      </w:pPr>
      <w:r>
        <w:rPr>
          <w:rFonts w:hint="eastAsia"/>
        </w:rPr>
        <w:t>是否有實行這種藥物第</w:t>
      </w:r>
      <w:r>
        <w:t>4</w:t>
      </w:r>
      <w:r>
        <w:rPr>
          <w:rFonts w:hint="eastAsia"/>
        </w:rPr>
        <w:t>階段實驗，是否有接受因開藥給患者而收取報償</w:t>
      </w:r>
    </w:p>
    <w:p w:rsidR="00DB326D" w:rsidRDefault="00DB326D" w:rsidP="00DB326D">
      <w:pPr>
        <w:numPr>
          <w:ilvl w:val="0"/>
          <w:numId w:val="26"/>
        </w:numPr>
        <w:tabs>
          <w:tab w:val="clear" w:pos="480"/>
          <w:tab w:val="num" w:pos="720"/>
        </w:tabs>
      </w:pPr>
      <w:r>
        <w:rPr>
          <w:rFonts w:hint="eastAsia"/>
        </w:rPr>
        <w:t>是否曾參加藥商贊助的繼續醫療教育課程？藥商是否提供免費醫學繼續</w:t>
      </w:r>
    </w:p>
    <w:p w:rsidR="00DB326D" w:rsidRDefault="00DB326D" w:rsidP="00DB326D">
      <w:pPr>
        <w:tabs>
          <w:tab w:val="num" w:pos="720"/>
        </w:tabs>
      </w:pPr>
      <w:r>
        <w:t xml:space="preserve">      </w:t>
      </w:r>
      <w:r>
        <w:rPr>
          <w:rFonts w:hint="eastAsia"/>
        </w:rPr>
        <w:t>教育課程？是否藥商支付花費或因出席而支付報酬或禮物？</w:t>
      </w:r>
    </w:p>
    <w:p w:rsidR="00DB326D" w:rsidRDefault="00DB326D" w:rsidP="00DB326D">
      <w:pPr>
        <w:numPr>
          <w:ilvl w:val="0"/>
          <w:numId w:val="26"/>
        </w:numPr>
        <w:tabs>
          <w:tab w:val="clear" w:pos="480"/>
          <w:tab w:val="num" w:pos="720"/>
        </w:tabs>
      </w:pPr>
      <w:r>
        <w:rPr>
          <w:rFonts w:hint="eastAsia"/>
        </w:rPr>
        <w:t>是否有收受藥商提出的免費樣本？</w:t>
      </w:r>
    </w:p>
    <w:p w:rsidR="00DB326D" w:rsidRPr="008B3DF9" w:rsidRDefault="00DB326D" w:rsidP="00DB326D">
      <w:pPr>
        <w:numPr>
          <w:ilvl w:val="0"/>
          <w:numId w:val="26"/>
        </w:numPr>
        <w:tabs>
          <w:tab w:val="clear" w:pos="480"/>
          <w:tab w:val="num" w:pos="720"/>
        </w:tabs>
      </w:pPr>
      <w:r>
        <w:rPr>
          <w:rFonts w:hint="eastAsia"/>
        </w:rPr>
        <w:t>是否曾收受來自藥商的任何禮物</w:t>
      </w:r>
      <w:r>
        <w:rPr>
          <w:rStyle w:val="ac"/>
        </w:rPr>
        <w:footnoteReference w:id="69"/>
      </w:r>
      <w:r>
        <w:rPr>
          <w:rFonts w:hint="eastAsia"/>
        </w:rPr>
        <w:t>？</w:t>
      </w:r>
    </w:p>
    <w:p w:rsidR="00DB326D" w:rsidRDefault="00DB326D" w:rsidP="00DB326D">
      <w:pPr>
        <w:widowControl/>
        <w:spacing w:before="100" w:beforeAutospacing="1" w:after="100" w:afterAutospacing="1"/>
        <w:ind w:leftChars="-200" w:hangingChars="200" w:hanging="480"/>
      </w:pPr>
      <w:r>
        <w:t xml:space="preserve">   </w:t>
      </w:r>
      <w:r>
        <w:rPr>
          <w:rFonts w:hint="eastAsia"/>
        </w:rPr>
        <w:t>（二）仿單外使用之</w:t>
      </w:r>
      <w:r w:rsidRPr="0001250F">
        <w:rPr>
          <w:rFonts w:hint="eastAsia"/>
        </w:rPr>
        <w:t>醫療過失責任</w:t>
      </w:r>
      <w:r>
        <w:rPr>
          <w:rFonts w:hint="eastAsia"/>
        </w:rPr>
        <w:t>管制</w:t>
      </w:r>
    </w:p>
    <w:p w:rsidR="00DB326D" w:rsidRPr="0001250F" w:rsidRDefault="00DB326D" w:rsidP="00DB326D">
      <w:pPr>
        <w:widowControl/>
        <w:spacing w:before="100" w:beforeAutospacing="1" w:after="100" w:afterAutospacing="1"/>
      </w:pPr>
      <w:r>
        <w:t xml:space="preserve">    </w:t>
      </w:r>
      <w:r>
        <w:rPr>
          <w:rFonts w:hint="eastAsia"/>
        </w:rPr>
        <w:t>仿單在醫療過失中用藥類型部分扮演重要角色，但學者與法院對於仿單的定位與仿單外使用之效果各有不同解讀，以下為目前常見的幾種看法：</w:t>
      </w:r>
    </w:p>
    <w:p w:rsidR="00DB326D" w:rsidRDefault="00DB326D" w:rsidP="00DB326D">
      <w:pPr>
        <w:widowControl/>
        <w:spacing w:before="100" w:beforeAutospacing="1" w:after="100" w:afterAutospacing="1"/>
        <w:ind w:left="240" w:hangingChars="100" w:hanging="240"/>
      </w:pPr>
      <w:r>
        <w:t xml:space="preserve"> </w:t>
      </w:r>
      <w:r w:rsidRPr="0001250F">
        <w:rPr>
          <w:rFonts w:hint="eastAsia"/>
        </w:rPr>
        <w:t>（</w:t>
      </w:r>
      <w:r w:rsidRPr="0001250F">
        <w:t>1</w:t>
      </w:r>
      <w:r w:rsidRPr="0001250F">
        <w:rPr>
          <w:rFonts w:hint="eastAsia"/>
        </w:rPr>
        <w:t>）違反仿單使用構成</w:t>
      </w:r>
      <w:r>
        <w:rPr>
          <w:rFonts w:hint="eastAsia"/>
        </w:rPr>
        <w:t>醫療過失之</w:t>
      </w:r>
      <w:r w:rsidRPr="0001250F">
        <w:rPr>
          <w:rFonts w:hint="eastAsia"/>
        </w:rPr>
        <w:t>表面證據</w:t>
      </w:r>
      <w:r>
        <w:rPr>
          <w:rStyle w:val="ac"/>
        </w:rPr>
        <w:footnoteReference w:id="70"/>
      </w:r>
    </w:p>
    <w:p w:rsidR="00DB326D" w:rsidRPr="00CA6E2C" w:rsidRDefault="00DB326D" w:rsidP="00DB326D">
      <w:pPr>
        <w:widowControl/>
        <w:spacing w:before="100" w:beforeAutospacing="1" w:after="100" w:afterAutospacing="1"/>
        <w:ind w:left="240" w:hangingChars="100" w:hanging="240"/>
        <w:rPr>
          <w:rFonts w:ascii="新細明體" w:cs="新細明體"/>
        </w:rPr>
      </w:pPr>
      <w:r>
        <w:t xml:space="preserve">      </w:t>
      </w:r>
      <w:r>
        <w:rPr>
          <w:rFonts w:hint="eastAsia"/>
        </w:rPr>
        <w:t>雖然有些藥物仿單外使用已成為醫療指引上之標準治療，已如前述，但在美國藥物仿單外使用引起民事賠償，通常一方面對於藥商提起商品責任訴訟，另一方面則對於醫師提出醫療過失主張，以明尼蘇達州為例，如果主張不適當使用藥物，一位醫師是否背離藥品標籤或仿單指示，有可能構成醫療過失。在</w:t>
      </w:r>
      <w:r w:rsidRPr="005E604E">
        <w:t>Helen C.</w:t>
      </w:r>
      <w:r>
        <w:rPr>
          <w:rFonts w:hint="eastAsia"/>
        </w:rPr>
        <w:t xml:space="preserve"> </w:t>
      </w:r>
      <w:proofErr w:type="spellStart"/>
      <w:r w:rsidRPr="005E604E">
        <w:t>Mulder</w:t>
      </w:r>
      <w:proofErr w:type="spellEnd"/>
      <w:r w:rsidRPr="005E604E">
        <w:t xml:space="preserve"> </w:t>
      </w:r>
      <w:r>
        <w:t>v</w:t>
      </w:r>
      <w:r w:rsidRPr="005E604E">
        <w:t>.</w:t>
      </w:r>
      <w:r>
        <w:t xml:space="preserve"> </w:t>
      </w:r>
      <w:r w:rsidRPr="005E604E">
        <w:t>Parks Davis &amp; Company</w:t>
      </w:r>
      <w:r>
        <w:rPr>
          <w:rStyle w:val="ac"/>
        </w:rPr>
        <w:footnoteReference w:id="71"/>
      </w:r>
      <w:r>
        <w:rPr>
          <w:rFonts w:hint="eastAsia"/>
        </w:rPr>
        <w:t>案例中</w:t>
      </w:r>
      <w:r>
        <w:rPr>
          <w:rFonts w:hint="eastAsia"/>
        </w:rPr>
        <w:t xml:space="preserve"> </w:t>
      </w:r>
      <w:r>
        <w:rPr>
          <w:rFonts w:hint="eastAsia"/>
        </w:rPr>
        <w:t>，明尼蘇達洲最高法院認為劑量服用方法由藥商標示之，醫師錯誤未去遵循藥商建議的方式，是足夠要求醫師去解釋其背離藥商建議的理由，如果：</w:t>
      </w:r>
      <w:r>
        <w:t>1</w:t>
      </w:r>
      <w:r>
        <w:rPr>
          <w:rFonts w:hint="eastAsia"/>
        </w:rPr>
        <w:t>、藥商對於藥物使用給予明確的建議和指示；</w:t>
      </w:r>
      <w:r>
        <w:t>2</w:t>
      </w:r>
      <w:r>
        <w:rPr>
          <w:rFonts w:hint="eastAsia"/>
        </w:rPr>
        <w:t>、醫師並未遵循該建議與指示；</w:t>
      </w:r>
      <w:r>
        <w:t>3</w:t>
      </w:r>
      <w:r>
        <w:rPr>
          <w:rFonts w:hint="eastAsia"/>
        </w:rPr>
        <w:t>、除非一位理性醫師在與被告醫師處於相同情況下也不會遵循該建議與指示，否則醫師是有過失。最高法院進一步闡釋藥商的建議或指示應有下列內容：</w:t>
      </w:r>
      <w:r>
        <w:t>1</w:t>
      </w:r>
      <w:r>
        <w:rPr>
          <w:rFonts w:hint="eastAsia"/>
        </w:rPr>
        <w:t>、在何症狀時藥品能該被開立；</w:t>
      </w:r>
      <w:r>
        <w:t>2</w:t>
      </w:r>
      <w:r>
        <w:rPr>
          <w:rFonts w:hint="eastAsia"/>
        </w:rPr>
        <w:t>、用來設計何種病痛緩解；</w:t>
      </w:r>
      <w:r>
        <w:t>3</w:t>
      </w:r>
      <w:r>
        <w:rPr>
          <w:rFonts w:hint="eastAsia"/>
        </w:rPr>
        <w:t>、警示措施考量應該被注意；</w:t>
      </w:r>
      <w:r>
        <w:t>4</w:t>
      </w:r>
      <w:r>
        <w:rPr>
          <w:rFonts w:hint="eastAsia"/>
        </w:rPr>
        <w:t>、使用該藥固有風險之警告。如果有證人證稱患者之傷害係因醫師疏未遵該仿單所致，則醫師背離上開藥商仿單指示將成過失的表面證據，所以醫師雖對於</w:t>
      </w:r>
      <w:r>
        <w:t>FDA</w:t>
      </w:r>
      <w:r>
        <w:rPr>
          <w:rFonts w:hint="eastAsia"/>
        </w:rPr>
        <w:t>核准的藥物得自由處方，不論是仿單內或外之使用，但藥品仿單外使用對於醫師在醫療過失的風險上，有可能直接成為表面證據。但在</w:t>
      </w:r>
      <w:r>
        <w:t>1976</w:t>
      </w:r>
      <w:r>
        <w:rPr>
          <w:rFonts w:hint="eastAsia"/>
        </w:rPr>
        <w:t>年同樣在明尼蘇達州</w:t>
      </w:r>
      <w:r>
        <w:t xml:space="preserve">Tina </w:t>
      </w:r>
      <w:proofErr w:type="spellStart"/>
      <w:r>
        <w:t>Lhotak</w:t>
      </w:r>
      <w:proofErr w:type="spellEnd"/>
      <w:r>
        <w:t xml:space="preserve"> v. Donald M. Larson </w:t>
      </w:r>
      <w:r>
        <w:rPr>
          <w:rFonts w:hint="eastAsia"/>
        </w:rPr>
        <w:t>案</w:t>
      </w:r>
      <w:r>
        <w:rPr>
          <w:rStyle w:val="ac"/>
        </w:rPr>
        <w:footnoteReference w:id="72"/>
      </w:r>
      <w:r>
        <w:rPr>
          <w:rFonts w:hint="eastAsia"/>
        </w:rPr>
        <w:t>中，明尼蘇達州最高法院雖未完全推翻</w:t>
      </w:r>
      <w:proofErr w:type="spellStart"/>
      <w:r>
        <w:t>Mulder</w:t>
      </w:r>
      <w:proofErr w:type="spellEnd"/>
      <w:r>
        <w:rPr>
          <w:rFonts w:hint="eastAsia"/>
        </w:rPr>
        <w:t>案的看法，但卻認為所謂背離藥商的建議構成過失的表面證據，必須背離的是明確且清楚的標準時始足當之。在此案件有爭議的是該藥物為女人早產分娩所使用，該商的仿單明白宣稱早產胎兒以注射方式用藥構成一種禁忌症，但仿單並無記載以口服方式是構成禁忌症，法院因此認為藥的化學成分是否因注射或口服作用均一樣，而均構成禁忌症是不明確，因此不適用</w:t>
      </w:r>
      <w:proofErr w:type="spellStart"/>
      <w:r>
        <w:t>Mulder</w:t>
      </w:r>
      <w:proofErr w:type="spellEnd"/>
      <w:r>
        <w:rPr>
          <w:rFonts w:hint="eastAsia"/>
        </w:rPr>
        <w:t>案所表示的</w:t>
      </w:r>
      <w:r>
        <w:rPr>
          <w:rFonts w:hint="eastAsia"/>
        </w:rPr>
        <w:lastRenderedPageBreak/>
        <w:t>原則。最後到</w:t>
      </w:r>
      <w:r>
        <w:t>1983</w:t>
      </w:r>
      <w:r>
        <w:rPr>
          <w:rFonts w:hint="eastAsia"/>
        </w:rPr>
        <w:t>年</w:t>
      </w:r>
      <w:r>
        <w:t xml:space="preserve">Jeanne </w:t>
      </w:r>
      <w:proofErr w:type="spellStart"/>
      <w:r>
        <w:t>A.Reinhardt</w:t>
      </w:r>
      <w:proofErr w:type="spellEnd"/>
      <w:r>
        <w:t xml:space="preserve"> v. Roger </w:t>
      </w:r>
      <w:proofErr w:type="spellStart"/>
      <w:r>
        <w:t>S.Colton</w:t>
      </w:r>
      <w:proofErr w:type="spellEnd"/>
      <w:r>
        <w:rPr>
          <w:rStyle w:val="ac"/>
        </w:rPr>
        <w:footnoteReference w:id="73"/>
      </w:r>
      <w:r>
        <w:rPr>
          <w:rFonts w:hint="eastAsia"/>
        </w:rPr>
        <w:t>案中，明尼蘇達州最高法院認為</w:t>
      </w:r>
      <w:proofErr w:type="spellStart"/>
      <w:r>
        <w:t>Mulder</w:t>
      </w:r>
      <w:proofErr w:type="spellEnd"/>
      <w:r>
        <w:rPr>
          <w:rFonts w:hint="eastAsia"/>
        </w:rPr>
        <w:t>案所表示的原則只有在足夠醫學證言證明患者受傷或死亡起因於醫師疏未履行仿單上建議，該原則才適當。因此</w:t>
      </w:r>
      <w:r>
        <w:t>Reinhardt</w:t>
      </w:r>
      <w:r>
        <w:rPr>
          <w:rFonts w:hint="eastAsia"/>
        </w:rPr>
        <w:t>案中，雖然原告提出醫師並未實行藥品仿單的建議即檢查血液中血小板數量之證據，但原告並未提出醫師未履行去檢查血液血小板數量是原告受傷直接原因之證據。另外，法院認為本案與</w:t>
      </w:r>
      <w:proofErr w:type="spellStart"/>
      <w:r>
        <w:t>Mulder</w:t>
      </w:r>
      <w:proofErr w:type="spellEnd"/>
      <w:r>
        <w:rPr>
          <w:rFonts w:hint="eastAsia"/>
        </w:rPr>
        <w:t>案不同之處在於醫師不是改變仿單之建議劑量，因此引起爭議的是，是否</w:t>
      </w:r>
      <w:proofErr w:type="spellStart"/>
      <w:r>
        <w:t>Mulder</w:t>
      </w:r>
      <w:proofErr w:type="spellEnd"/>
      <w:r>
        <w:rPr>
          <w:rFonts w:hint="eastAsia"/>
        </w:rPr>
        <w:t>案的指示是否僅限於仿單外使用類型中關於建議劑量外使用，而未能適用於適應症外使用之類型</w:t>
      </w:r>
      <w:r>
        <w:rPr>
          <w:rStyle w:val="ac"/>
        </w:rPr>
        <w:footnoteReference w:id="74"/>
      </w:r>
      <w:r>
        <w:rPr>
          <w:rFonts w:hint="eastAsia"/>
        </w:rPr>
        <w:t>，故在仿單外使用之類型不同可能左右舉證責任之分配。</w:t>
      </w:r>
    </w:p>
    <w:p w:rsidR="00DB326D" w:rsidRDefault="00DB326D" w:rsidP="00DB326D">
      <w:pPr>
        <w:widowControl/>
        <w:spacing w:before="100" w:beforeAutospacing="1" w:after="100" w:afterAutospacing="1"/>
        <w:ind w:left="240" w:hangingChars="100" w:hanging="240"/>
      </w:pPr>
      <w:r w:rsidRPr="0001250F">
        <w:rPr>
          <w:rFonts w:hint="eastAsia"/>
        </w:rPr>
        <w:t>（</w:t>
      </w:r>
      <w:r w:rsidRPr="0001250F">
        <w:t>2</w:t>
      </w:r>
      <w:r w:rsidRPr="0001250F">
        <w:rPr>
          <w:rFonts w:hint="eastAsia"/>
        </w:rPr>
        <w:t>）</w:t>
      </w:r>
      <w:r>
        <w:rPr>
          <w:rFonts w:hint="eastAsia"/>
        </w:rPr>
        <w:t>仿單之記載允許成為醫師醫療過失上注意義務標準之證據之一</w:t>
      </w:r>
    </w:p>
    <w:p w:rsidR="00DB326D" w:rsidRDefault="00DB326D" w:rsidP="00DB326D">
      <w:pPr>
        <w:widowControl/>
        <w:spacing w:before="100" w:beforeAutospacing="1" w:after="100" w:afterAutospacing="1"/>
        <w:ind w:left="240" w:hangingChars="100" w:hanging="240"/>
        <w:rPr>
          <w:rFonts w:ascii="Arial" w:eastAsia="MS Mincho" w:hAnsi="Arial" w:cs="Arial"/>
        </w:rPr>
      </w:pPr>
      <w:r>
        <w:t xml:space="preserve">     </w:t>
      </w:r>
      <w:r>
        <w:rPr>
          <w:rFonts w:hint="eastAsia"/>
        </w:rPr>
        <w:t>在田納西州</w:t>
      </w:r>
      <w:r w:rsidRPr="00761B4D">
        <w:rPr>
          <w:rFonts w:cs="Arial"/>
        </w:rPr>
        <w:t>Richardson v. Miller</w:t>
      </w:r>
      <w:r w:rsidRPr="00761B4D">
        <w:rPr>
          <w:rStyle w:val="ac"/>
          <w:rFonts w:cs="Arial"/>
        </w:rPr>
        <w:footnoteReference w:id="75"/>
      </w:r>
      <w:r w:rsidRPr="00C16BE9">
        <w:rPr>
          <w:rFonts w:ascii="Arial" w:hAnsi="Arial" w:cs="Arial" w:hint="eastAsia"/>
        </w:rPr>
        <w:t>案中</w:t>
      </w:r>
      <w:r>
        <w:rPr>
          <w:rFonts w:ascii="Arial" w:hAnsi="Arial" w:cs="Arial" w:hint="eastAsia"/>
        </w:rPr>
        <w:t>，</w:t>
      </w:r>
      <w:r w:rsidRPr="00C16BE9">
        <w:rPr>
          <w:rFonts w:ascii="Arial" w:hAnsi="Arial" w:cs="Arial" w:hint="eastAsia"/>
        </w:rPr>
        <w:t>原告主張在分娩過</w:t>
      </w:r>
      <w:r>
        <w:rPr>
          <w:rFonts w:ascii="Arial" w:hAnsi="Arial" w:cs="Arial" w:hint="eastAsia"/>
        </w:rPr>
        <w:t>程是使用氣管擴張劑（</w:t>
      </w:r>
      <w:proofErr w:type="spellStart"/>
      <w:r>
        <w:rPr>
          <w:rFonts w:ascii="Arial" w:hAnsi="Arial" w:cs="Arial"/>
        </w:rPr>
        <w:t>terbutaline</w:t>
      </w:r>
      <w:proofErr w:type="spellEnd"/>
      <w:r>
        <w:rPr>
          <w:rFonts w:ascii="Arial" w:hAnsi="Arial" w:cs="Arial" w:hint="eastAsia"/>
        </w:rPr>
        <w:t>），而該氣管擴張劑係</w:t>
      </w:r>
      <w:r>
        <w:rPr>
          <w:rFonts w:ascii="Arial" w:hAnsi="Arial" w:cs="Arial"/>
        </w:rPr>
        <w:t>FDA</w:t>
      </w:r>
      <w:r>
        <w:rPr>
          <w:rFonts w:ascii="Arial" w:hAnsi="Arial" w:cs="Arial" w:hint="eastAsia"/>
        </w:rPr>
        <w:t>核准用來治療支氣管哮喘（</w:t>
      </w:r>
      <w:r>
        <w:rPr>
          <w:rFonts w:ascii="Arial" w:hAnsi="Arial" w:cs="Arial"/>
        </w:rPr>
        <w:t>bronchial asthma</w:t>
      </w:r>
      <w:r>
        <w:rPr>
          <w:rFonts w:ascii="Arial" w:hAnsi="Arial" w:cs="Arial" w:hint="eastAsia"/>
        </w:rPr>
        <w:t>），常見被醫師藉由放鬆子宮肌肉用來幫助遲延生產過程，支氣管擴張通常為口服少數以皮下注射間隔時間進入人體，而被告選擇以皮下注射方式為原告注射氣管擴張劑，原告主張因為分娩過程中被告注射氣管擴張劑，導致原告心臟病造成心臟永久損害。地方法院排除由氣管擴張劑仿單外使用所造成關聯，但上訴法院認為關於藥物仿單外使用性質在幫助建構被告應該被判斷的注意義務，被告疏於遵守</w:t>
      </w:r>
      <w:r>
        <w:rPr>
          <w:rFonts w:ascii="Arial" w:hAnsi="Arial" w:cs="Arial"/>
        </w:rPr>
        <w:t>FDA</w:t>
      </w:r>
      <w:r>
        <w:rPr>
          <w:rFonts w:ascii="Arial" w:hAnsi="Arial" w:cs="Arial" w:hint="eastAsia"/>
        </w:rPr>
        <w:t>所提出對於早產治療使用氣管擴張劑皮下注射方式並未經核准之警告。醫師在審判中必須去承擔開立處方雖然違反仿單記載之特定用途，但屬正當，故原告於訴訟中所提供之專家證言必須試著描繪醫師仿單外使用之行為具有重大背離注意義務的特性，被告所請之專家則試著建立醫師的仿單外使用之行為符合醫療常規。在</w:t>
      </w:r>
      <w:r w:rsidRPr="00761B4D">
        <w:rPr>
          <w:rFonts w:cs="Arial"/>
        </w:rPr>
        <w:t xml:space="preserve">Richardson </w:t>
      </w:r>
      <w:r>
        <w:rPr>
          <w:rFonts w:cs="Arial" w:hint="eastAsia"/>
        </w:rPr>
        <w:t>案中法院認為</w:t>
      </w:r>
      <w:r>
        <w:rPr>
          <w:rFonts w:ascii="Arial" w:hAnsi="Arial" w:cs="Arial" w:hint="eastAsia"/>
        </w:rPr>
        <w:t>仿單上之記載就該藥品之使用而言，等於注意義務標準的表面證據</w:t>
      </w:r>
      <w:r>
        <w:rPr>
          <w:rStyle w:val="ac"/>
          <w:rFonts w:ascii="Arial" w:hAnsi="Arial" w:cs="Arial"/>
        </w:rPr>
        <w:footnoteReference w:id="76"/>
      </w:r>
      <w:r>
        <w:rPr>
          <w:rFonts w:ascii="Arial" w:hAnsi="Arial" w:cs="Arial" w:hint="eastAsia"/>
        </w:rPr>
        <w:t>。但學者認為大部分法院認為仿單及</w:t>
      </w:r>
      <w:r>
        <w:rPr>
          <w:rFonts w:ascii="Arial" w:hAnsi="Arial" w:cs="Arial" w:hint="eastAsia"/>
        </w:rPr>
        <w:t>PDR</w:t>
      </w:r>
      <w:r>
        <w:rPr>
          <w:rFonts w:ascii="Arial" w:hAnsi="Arial" w:cs="Arial" w:hint="eastAsia"/>
        </w:rPr>
        <w:t>（</w:t>
      </w:r>
      <w:r w:rsidRPr="00102FEA">
        <w:rPr>
          <w:bCs/>
        </w:rPr>
        <w:t>Physicians' Desk Reference</w:t>
      </w:r>
      <w:r w:rsidRPr="00102FEA">
        <w:rPr>
          <w:bCs/>
        </w:rPr>
        <w:t>，</w:t>
      </w:r>
      <w:r w:rsidRPr="00102FEA">
        <w:rPr>
          <w:bCs/>
        </w:rPr>
        <w:t>PDR</w:t>
      </w:r>
      <w:r>
        <w:rPr>
          <w:rFonts w:hint="eastAsia"/>
          <w:bCs/>
        </w:rPr>
        <w:t>，醫師參考之藥典</w:t>
      </w:r>
      <w:r w:rsidRPr="00102FEA">
        <w:rPr>
          <w:bCs/>
        </w:rPr>
        <w:t>）</w:t>
      </w:r>
      <w:r>
        <w:rPr>
          <w:rFonts w:ascii="Arial" w:hAnsi="Arial" w:cs="Arial" w:hint="eastAsia"/>
        </w:rPr>
        <w:t>可允許作為證明醫師之注意義務標準，但條件是原告仍須提出關於注意義務標準的專家證言</w:t>
      </w:r>
      <w:r>
        <w:rPr>
          <w:rStyle w:val="ac"/>
          <w:rFonts w:ascii="Arial" w:hAnsi="Arial" w:cs="Arial"/>
        </w:rPr>
        <w:footnoteReference w:id="77"/>
      </w:r>
      <w:r>
        <w:rPr>
          <w:rFonts w:ascii="Arial" w:hAnsi="Arial" w:cs="Arial" w:hint="eastAsia"/>
        </w:rPr>
        <w:t>。</w:t>
      </w:r>
    </w:p>
    <w:p w:rsidR="00DB326D" w:rsidRDefault="00DB326D" w:rsidP="00DB326D">
      <w:pPr>
        <w:widowControl/>
        <w:spacing w:before="100" w:beforeAutospacing="1" w:after="100" w:afterAutospacing="1"/>
        <w:ind w:left="240" w:hangingChars="100" w:hanging="240"/>
      </w:pPr>
      <w:r>
        <w:rPr>
          <w:rFonts w:hint="eastAsia"/>
        </w:rPr>
        <w:t>（</w:t>
      </w:r>
      <w:r>
        <w:t>3</w:t>
      </w:r>
      <w:r>
        <w:rPr>
          <w:rFonts w:hint="eastAsia"/>
        </w:rPr>
        <w:t>）仿單不應構成醫療過失中注意義務內容判斷之證據</w:t>
      </w:r>
    </w:p>
    <w:p w:rsidR="00DB326D" w:rsidRDefault="00DB326D" w:rsidP="00DB326D">
      <w:pPr>
        <w:widowControl/>
        <w:spacing w:before="100" w:beforeAutospacing="1" w:after="100" w:afterAutospacing="1"/>
        <w:ind w:left="240" w:hangingChars="100" w:hanging="240"/>
      </w:pPr>
      <w:r>
        <w:lastRenderedPageBreak/>
        <w:t xml:space="preserve">.     </w:t>
      </w:r>
      <w:r>
        <w:rPr>
          <w:rFonts w:hint="eastAsia"/>
        </w:rPr>
        <w:t>有學者</w:t>
      </w:r>
      <w:r>
        <w:rPr>
          <w:rStyle w:val="ac"/>
        </w:rPr>
        <w:footnoteReference w:id="78"/>
      </w:r>
      <w:r>
        <w:rPr>
          <w:rFonts w:hint="eastAsia"/>
        </w:rPr>
        <w:t>主張仿單不應作為醫療過失中注意義務的標準，亦有部分法院</w:t>
      </w:r>
      <w:r>
        <w:rPr>
          <w:rStyle w:val="ac"/>
        </w:rPr>
        <w:footnoteReference w:id="79"/>
      </w:r>
      <w:r>
        <w:rPr>
          <w:rFonts w:hint="eastAsia"/>
        </w:rPr>
        <w:t>支持如此看法，主要的理由認為仿單上之記載是</w:t>
      </w:r>
      <w:r>
        <w:t>FDA</w:t>
      </w:r>
      <w:r>
        <w:rPr>
          <w:rFonts w:hint="eastAsia"/>
        </w:rPr>
        <w:t>要求藥品製造商新藥上市前應送關於藥品相關資訊供其審核，已如前述，但藥品上市後，</w:t>
      </w:r>
      <w:r>
        <w:t>FDA</w:t>
      </w:r>
      <w:r>
        <w:rPr>
          <w:rFonts w:hint="eastAsia"/>
        </w:rPr>
        <w:t>並未針對醫師如何使用該藥品作出限制，此從</w:t>
      </w:r>
      <w:r>
        <w:t>FDA</w:t>
      </w:r>
      <w:r>
        <w:rPr>
          <w:rFonts w:hint="eastAsia"/>
        </w:rPr>
        <w:t>於</w:t>
      </w:r>
      <w:r>
        <w:t>1972</w:t>
      </w:r>
      <w:r>
        <w:rPr>
          <w:rFonts w:hint="eastAsia"/>
        </w:rPr>
        <w:t>年制定關於未經</w:t>
      </w:r>
      <w:r>
        <w:t>FDA</w:t>
      </w:r>
      <w:r>
        <w:rPr>
          <w:rFonts w:hint="eastAsia"/>
        </w:rPr>
        <w:t>核准之用途之處方相關規定提案中</w:t>
      </w:r>
      <w:r>
        <w:rPr>
          <w:rStyle w:val="ac"/>
        </w:rPr>
        <w:footnoteReference w:id="80"/>
      </w:r>
      <w:r>
        <w:rPr>
          <w:rFonts w:hint="eastAsia"/>
        </w:rPr>
        <w:t>，即明白表示醫師在部分醫療實務上，可合法處方不同劑量給患者或在其他方面使用情況違反在仿單上已核准的的情形，因此，仿單上的標示並非有意妨礙醫師行使對於其患者最有利的判斷，也非加諸醫師如果不遵守仿單的過失責任。</w:t>
      </w:r>
      <w:r>
        <w:t>FDA</w:t>
      </w:r>
      <w:r>
        <w:rPr>
          <w:rFonts w:hint="eastAsia"/>
        </w:rPr>
        <w:t>復於在</w:t>
      </w:r>
      <w:r>
        <w:t>1982</w:t>
      </w:r>
      <w:r>
        <w:rPr>
          <w:rFonts w:hint="eastAsia"/>
        </w:rPr>
        <w:t>年官方公布欄（</w:t>
      </w:r>
      <w:r>
        <w:t>Drug Bulletin</w:t>
      </w:r>
      <w:r>
        <w:rPr>
          <w:rFonts w:hint="eastAsia"/>
        </w:rPr>
        <w:t>）宣稱不限制醫師使用已核准藥品的方法，一旦藥品核准行銷，醫師可處方任何沒有在核准仿單上的用途、患者族群、治療方法。在</w:t>
      </w:r>
      <w:r>
        <w:t>2009</w:t>
      </w:r>
      <w:r>
        <w:rPr>
          <w:rFonts w:hint="eastAsia"/>
        </w:rPr>
        <w:t>年給製藥業指引文件中，</w:t>
      </w:r>
      <w:r>
        <w:t>FDA</w:t>
      </w:r>
      <w:r>
        <w:rPr>
          <w:rFonts w:hint="eastAsia"/>
        </w:rPr>
        <w:t>亦宣稱，一旦藥物由</w:t>
      </w:r>
      <w:r>
        <w:t>FDA</w:t>
      </w:r>
      <w:r>
        <w:rPr>
          <w:rFonts w:hint="eastAsia"/>
        </w:rPr>
        <w:t>批准，醫療服務提供者可合法處方藥物在仿單所未涵蓋核准之用途及治療方法上。因此，就藥品主管機關</w:t>
      </w:r>
      <w:r>
        <w:t>FDA</w:t>
      </w:r>
      <w:r>
        <w:rPr>
          <w:rFonts w:hint="eastAsia"/>
        </w:rPr>
        <w:t>而言，從未將仿單作為規範醫師醫療上用藥行為之工具。其次，從立法者即國會觀點，亦認為仿單外使用本身並非不適當，聯邦法律</w:t>
      </w:r>
      <w:r>
        <w:rPr>
          <w:rStyle w:val="ac"/>
        </w:rPr>
        <w:footnoteReference w:id="81"/>
      </w:r>
      <w:r>
        <w:rPr>
          <w:rFonts w:hint="eastAsia"/>
        </w:rPr>
        <w:t>規定在合法醫病關係之間，基於任何情況，</w:t>
      </w:r>
      <w:r>
        <w:t>FDCA</w:t>
      </w:r>
      <w:r>
        <w:rPr>
          <w:rFonts w:hint="eastAsia"/>
        </w:rPr>
        <w:t>法律中並無可以解釋得限制醫師去處方任何合法的藥品給患者之規定。國會也要求聯邦的醫療保險計劃去償付有特定醫學上出版品支持之仿單外使用（非仿單上所載之適應症）</w:t>
      </w:r>
      <w:r>
        <w:rPr>
          <w:rStyle w:val="ac"/>
        </w:rPr>
        <w:footnoteReference w:id="82"/>
      </w:r>
      <w:r>
        <w:rPr>
          <w:rFonts w:hint="eastAsia"/>
        </w:rPr>
        <w:t>；再從藥品製造商的角度來思考，仿單上所載之資訊是為求通過</w:t>
      </w:r>
      <w:r>
        <w:t>FDA</w:t>
      </w:r>
      <w:r>
        <w:rPr>
          <w:rFonts w:hint="eastAsia"/>
        </w:rPr>
        <w:t>審核與將來行銷之用，並無作為醫師醫療上注意義務之意，況且關於仿單上之記載，透過耗費時日的</w:t>
      </w:r>
      <w:r>
        <w:t>FDA</w:t>
      </w:r>
      <w:r>
        <w:rPr>
          <w:rFonts w:hint="eastAsia"/>
        </w:rPr>
        <w:t>審查後，往往未能跟上最新的科學發展，故仿單並非所有資訊之容器，是否與醫師從事醫療行為當時之醫療科學知識相符，並非無疑；另外，藥品製造商基於簡省研發成本、藥品專利期限，對於已普遍被接受之藥物用途並不願去做變更仿單記載之工作，而科學家亦對於已在普遍使用之用途亦無研究之動力，並且若該仿單外使用已成為標準治療，基於對於人體試驗受試者之保護，亦難進行對照組與實驗組之人體試驗，因此藥品製造商亦難取得人體試驗相關資訊進行仿單記載之變更，已如前述，故仿單之記載自難有與科學發展俱進之可能，並無法作為醫師發生醫療事故當時之注意義務標準之證據</w:t>
      </w:r>
      <w:r>
        <w:rPr>
          <w:rStyle w:val="ac"/>
        </w:rPr>
        <w:footnoteReference w:id="83"/>
      </w:r>
      <w:r>
        <w:rPr>
          <w:rFonts w:hint="eastAsia"/>
        </w:rPr>
        <w:t>。</w:t>
      </w:r>
    </w:p>
    <w:p w:rsidR="00DB326D" w:rsidRDefault="00DB326D" w:rsidP="00DB326D">
      <w:pPr>
        <w:widowControl/>
        <w:numPr>
          <w:ilvl w:val="1"/>
          <w:numId w:val="1"/>
        </w:numPr>
        <w:tabs>
          <w:tab w:val="clear" w:pos="840"/>
          <w:tab w:val="num" w:pos="142"/>
        </w:tabs>
        <w:spacing w:before="100" w:beforeAutospacing="1" w:after="100" w:afterAutospacing="1"/>
        <w:ind w:hanging="840"/>
      </w:pPr>
      <w:r>
        <w:rPr>
          <w:rFonts w:hint="eastAsia"/>
        </w:rPr>
        <w:t>仿單外使用研究之管制</w:t>
      </w:r>
    </w:p>
    <w:p w:rsidR="00DB326D" w:rsidRPr="0077097D" w:rsidRDefault="00DB326D" w:rsidP="00DB326D">
      <w:pPr>
        <w:widowControl/>
        <w:spacing w:before="100" w:beforeAutospacing="1" w:after="100" w:afterAutospacing="1"/>
      </w:pPr>
      <w:r>
        <w:t xml:space="preserve">   FDA</w:t>
      </w:r>
      <w:r>
        <w:rPr>
          <w:rFonts w:hint="eastAsia"/>
        </w:rPr>
        <w:t>針對醫師以行醫為意圖時，仿單外使用並不需要提交</w:t>
      </w:r>
      <w:r>
        <w:t>INDA</w:t>
      </w:r>
      <w:r>
        <w:rPr>
          <w:rFonts w:hint="eastAsia"/>
        </w:rPr>
        <w:t>或由</w:t>
      </w:r>
      <w:r>
        <w:t>IRB</w:t>
      </w:r>
      <w:r>
        <w:rPr>
          <w:rFonts w:hint="eastAsia"/>
        </w:rPr>
        <w:t>審查，可以本諸其醫學上知識為患者最大利益之判斷，就已核准上市藥物來用藥，並不</w:t>
      </w:r>
      <w:r>
        <w:rPr>
          <w:rFonts w:hint="eastAsia"/>
        </w:rPr>
        <w:lastRenderedPageBreak/>
        <w:t>加限制，已如前述，但若醫師對於已上市之藥品是以研究為意圖去研發藥品的安全性或有效性，原則上必要提出臨床研究計劃</w:t>
      </w:r>
      <w:r>
        <w:rPr>
          <w:rStyle w:val="ac"/>
        </w:rPr>
        <w:footnoteReference w:id="84"/>
      </w:r>
      <w:r>
        <w:rPr>
          <w:rFonts w:hint="eastAsia"/>
        </w:rPr>
        <w:t>，並且提交</w:t>
      </w:r>
      <w:r>
        <w:t xml:space="preserve">INDA </w:t>
      </w:r>
      <w:r>
        <w:rPr>
          <w:rFonts w:hint="eastAsia"/>
        </w:rPr>
        <w:t>，除非符合以下六個條件則免提交</w:t>
      </w:r>
      <w:r>
        <w:t>INDA</w:t>
      </w:r>
      <w:r>
        <w:rPr>
          <w:rStyle w:val="ac"/>
        </w:rPr>
        <w:footnoteReference w:id="85"/>
      </w:r>
      <w:r>
        <w:rPr>
          <w:rFonts w:hint="eastAsia"/>
        </w:rPr>
        <w:t>：（</w:t>
      </w:r>
      <w:r>
        <w:t>1</w:t>
      </w:r>
      <w:r>
        <w:rPr>
          <w:rFonts w:hint="eastAsia"/>
        </w:rPr>
        <w:t>）該研究目的並非係用來向</w:t>
      </w:r>
      <w:r>
        <w:t>FDA</w:t>
      </w:r>
      <w:r>
        <w:rPr>
          <w:rFonts w:hint="eastAsia"/>
        </w:rPr>
        <w:t>報告支持該藥品新的適應症用途或者支持該藥物標示上其他重大變更。（</w:t>
      </w:r>
      <w:r>
        <w:t>2</w:t>
      </w:r>
      <w:r>
        <w:rPr>
          <w:rFonts w:hint="eastAsia"/>
        </w:rPr>
        <w:t>）該研究目的並非用來支持該藥物在廣告上的重大變更。（</w:t>
      </w:r>
      <w:r>
        <w:t>3</w:t>
      </w:r>
      <w:r>
        <w:rPr>
          <w:rFonts w:hint="eastAsia"/>
        </w:rPr>
        <w:t>）該研究不牽涉到藥物使用途徑或劑量、受試族群改變或其他因使用該藥物所增加重大風險或降低可接受風險。（</w:t>
      </w:r>
      <w:r>
        <w:t>4</w:t>
      </w:r>
      <w:r>
        <w:rPr>
          <w:rFonts w:hint="eastAsia"/>
        </w:rPr>
        <w:t>）該研究遵守</w:t>
      </w:r>
      <w:r>
        <w:t>IRB</w:t>
      </w:r>
      <w:r>
        <w:rPr>
          <w:rFonts w:hint="eastAsia"/>
        </w:rPr>
        <w:t>審查的要求與告知同意原則。（</w:t>
      </w:r>
      <w:r>
        <w:t>5</w:t>
      </w:r>
      <w:r>
        <w:rPr>
          <w:rFonts w:hint="eastAsia"/>
        </w:rPr>
        <w:t>）該研究遵守藥物促銷與銷售的要求。（</w:t>
      </w:r>
      <w:r>
        <w:t>6</w:t>
      </w:r>
      <w:r>
        <w:rPr>
          <w:rFonts w:hint="eastAsia"/>
        </w:rPr>
        <w:t>）該研究並未有意援用緊急性研究計劃的告知同意原則之例外</w:t>
      </w:r>
      <w:r>
        <w:rPr>
          <w:rStyle w:val="ac"/>
        </w:rPr>
        <w:footnoteReference w:id="86"/>
      </w:r>
      <w:r>
        <w:rPr>
          <w:rFonts w:hint="eastAsia"/>
        </w:rPr>
        <w:t>。故在美國醫師進行藥品仿單外使用之研究，若屬藥商委託因不符合前二款要件，必須提出</w:t>
      </w:r>
      <w:r>
        <w:t>INDA</w:t>
      </w:r>
      <w:r>
        <w:rPr>
          <w:rFonts w:hint="eastAsia"/>
        </w:rPr>
        <w:t>供</w:t>
      </w:r>
      <w:r>
        <w:t>IRB</w:t>
      </w:r>
      <w:r>
        <w:rPr>
          <w:rFonts w:hint="eastAsia"/>
        </w:rPr>
        <w:t>審查；若屬於醫師自己研究也必須無關於使用途徑、劑量、受試族群的變動，充其量僅能做適應症仿單不同且未增加風險之研究，始得免提</w:t>
      </w:r>
      <w:r>
        <w:t>INDA</w:t>
      </w:r>
      <w:r>
        <w:rPr>
          <w:rFonts w:hint="eastAsia"/>
        </w:rPr>
        <w:t>供</w:t>
      </w:r>
      <w:r>
        <w:t>IRB</w:t>
      </w:r>
      <w:r>
        <w:rPr>
          <w:rFonts w:hint="eastAsia"/>
        </w:rPr>
        <w:t>審查。</w:t>
      </w:r>
    </w:p>
    <w:p w:rsidR="00DB326D" w:rsidRDefault="00DB326D" w:rsidP="00DB326D">
      <w:pPr>
        <w:widowControl/>
        <w:spacing w:before="100" w:beforeAutospacing="1" w:after="100" w:afterAutospacing="1"/>
        <w:ind w:left="320" w:hangingChars="100" w:hanging="320"/>
        <w:rPr>
          <w:sz w:val="32"/>
          <w:szCs w:val="32"/>
        </w:rPr>
      </w:pPr>
      <w:r>
        <w:rPr>
          <w:rFonts w:hint="eastAsia"/>
          <w:sz w:val="32"/>
          <w:szCs w:val="32"/>
        </w:rPr>
        <w:t>伍、</w:t>
      </w:r>
      <w:r w:rsidRPr="006D34CA">
        <w:rPr>
          <w:sz w:val="32"/>
          <w:szCs w:val="32"/>
        </w:rPr>
        <w:t>OFF</w:t>
      </w:r>
      <w:r w:rsidRPr="006D34CA">
        <w:rPr>
          <w:rFonts w:hint="eastAsia"/>
          <w:sz w:val="32"/>
          <w:szCs w:val="32"/>
        </w:rPr>
        <w:t>─</w:t>
      </w:r>
      <w:r w:rsidRPr="006D34CA">
        <w:rPr>
          <w:sz w:val="32"/>
          <w:szCs w:val="32"/>
        </w:rPr>
        <w:t>LABEL USE</w:t>
      </w:r>
      <w:r>
        <w:rPr>
          <w:rFonts w:hint="eastAsia"/>
          <w:sz w:val="32"/>
          <w:szCs w:val="32"/>
        </w:rPr>
        <w:t>我國管制方式及缺失</w:t>
      </w:r>
    </w:p>
    <w:p w:rsidR="00DB326D" w:rsidRPr="002E7A35" w:rsidRDefault="00DB326D" w:rsidP="00DB326D">
      <w:pPr>
        <w:widowControl/>
        <w:spacing w:before="100" w:beforeAutospacing="1" w:after="100" w:afterAutospacing="1"/>
        <w:ind w:leftChars="100" w:left="240" w:firstLineChars="100" w:firstLine="240"/>
      </w:pPr>
      <w:r w:rsidRPr="002E7A35">
        <w:rPr>
          <w:rFonts w:hint="eastAsia"/>
        </w:rPr>
        <w:t>我國</w:t>
      </w:r>
      <w:r>
        <w:rPr>
          <w:rFonts w:hint="eastAsia"/>
        </w:rPr>
        <w:t>對於仿單外使用概分為行政管制、立法管制與司法管制，以下分述之：</w:t>
      </w:r>
    </w:p>
    <w:p w:rsidR="00DB326D" w:rsidRDefault="00DB326D" w:rsidP="00DB326D">
      <w:pPr>
        <w:widowControl/>
        <w:spacing w:before="100" w:beforeAutospacing="1" w:after="100" w:afterAutospacing="1"/>
        <w:ind w:leftChars="-59" w:hangingChars="59" w:hanging="142"/>
        <w:rPr>
          <w:rFonts w:ascii="新細明體"/>
          <w:szCs w:val="28"/>
        </w:rPr>
      </w:pPr>
      <w:r>
        <w:t xml:space="preserve"> </w:t>
      </w:r>
      <w:r w:rsidRPr="00956EAB">
        <w:rPr>
          <w:rFonts w:hint="eastAsia"/>
        </w:rPr>
        <w:t>一、行政管制</w:t>
      </w:r>
      <w:r>
        <w:rPr>
          <w:rFonts w:hint="eastAsia"/>
        </w:rPr>
        <w:t>及缺失</w:t>
      </w:r>
      <w:r>
        <w:t xml:space="preserve">                                                               </w:t>
      </w:r>
      <w:r w:rsidRPr="00E07E5B">
        <w:rPr>
          <w:rFonts w:ascii="新細明體" w:hint="eastAsia"/>
          <w:szCs w:val="28"/>
        </w:rPr>
        <w:t>（一）衛生署函示</w:t>
      </w:r>
      <w:r w:rsidRPr="00E07E5B">
        <w:rPr>
          <w:rFonts w:ascii="新細明體"/>
          <w:szCs w:val="28"/>
        </w:rPr>
        <w:t xml:space="preserve"> </w:t>
      </w:r>
    </w:p>
    <w:p w:rsidR="00DB326D" w:rsidRDefault="00DB326D" w:rsidP="00DB326D">
      <w:pPr>
        <w:widowControl/>
        <w:spacing w:before="100" w:beforeAutospacing="1" w:after="100" w:afterAutospacing="1"/>
        <w:ind w:leftChars="-59" w:hangingChars="59" w:hanging="142"/>
      </w:pPr>
      <w:r>
        <w:rPr>
          <w:rFonts w:ascii="新細明體"/>
          <w:szCs w:val="28"/>
        </w:rPr>
        <w:t xml:space="preserve"> </w:t>
      </w:r>
      <w:r>
        <w:rPr>
          <w:szCs w:val="28"/>
        </w:rPr>
        <w:t xml:space="preserve">  1</w:t>
      </w:r>
      <w:r>
        <w:rPr>
          <w:rFonts w:hint="eastAsia"/>
          <w:szCs w:val="28"/>
        </w:rPr>
        <w:t>、</w:t>
      </w:r>
      <w:r>
        <w:t>91</w:t>
      </w:r>
      <w:r>
        <w:rPr>
          <w:rFonts w:hint="eastAsia"/>
        </w:rPr>
        <w:t>年</w:t>
      </w:r>
      <w:r>
        <w:t>2</w:t>
      </w:r>
      <w:r>
        <w:rPr>
          <w:rFonts w:hint="eastAsia"/>
        </w:rPr>
        <w:t>月</w:t>
      </w:r>
      <w:r>
        <w:t>8</w:t>
      </w:r>
      <w:r>
        <w:rPr>
          <w:rFonts w:hint="eastAsia"/>
        </w:rPr>
        <w:t>日</w:t>
      </w:r>
      <w:r w:rsidRPr="008F0A5B">
        <w:rPr>
          <w:rFonts w:hint="eastAsia"/>
        </w:rPr>
        <w:t>衛署醫字第</w:t>
      </w:r>
      <w:r w:rsidRPr="008F0A5B">
        <w:t>0910014830</w:t>
      </w:r>
      <w:r w:rsidRPr="008F0A5B">
        <w:rPr>
          <w:rFonts w:hint="eastAsia"/>
        </w:rPr>
        <w:t>號函</w:t>
      </w:r>
      <w:r>
        <w:rPr>
          <w:rFonts w:hint="eastAsia"/>
        </w:rPr>
        <w:t>示</w:t>
      </w:r>
      <w:r>
        <w:t xml:space="preserve">  </w:t>
      </w:r>
    </w:p>
    <w:p w:rsidR="00DB326D" w:rsidRDefault="00DB326D" w:rsidP="00DB326D">
      <w:pPr>
        <w:widowControl/>
        <w:spacing w:before="100" w:beforeAutospacing="1" w:after="100" w:afterAutospacing="1"/>
        <w:ind w:leftChars="-59" w:hangingChars="59" w:hanging="142"/>
      </w:pPr>
      <w:r>
        <w:t xml:space="preserve"> </w:t>
      </w:r>
      <w:r>
        <w:rPr>
          <w:szCs w:val="28"/>
        </w:rPr>
        <w:t xml:space="preserve">    </w:t>
      </w:r>
      <w:r w:rsidRPr="0034690B">
        <w:rPr>
          <w:rFonts w:hint="eastAsia"/>
          <w:szCs w:val="28"/>
        </w:rPr>
        <w:t>我國</w:t>
      </w:r>
      <w:r>
        <w:rPr>
          <w:rFonts w:hint="eastAsia"/>
        </w:rPr>
        <w:t>行政院衛生署</w:t>
      </w:r>
      <w:r w:rsidRPr="002E7A35">
        <w:rPr>
          <w:rFonts w:hint="eastAsia"/>
        </w:rPr>
        <w:t>正式</w:t>
      </w:r>
      <w:r>
        <w:rPr>
          <w:rFonts w:hint="eastAsia"/>
        </w:rPr>
        <w:t>針對仿單外使用表示主管機關立場僅有</w:t>
      </w:r>
      <w:r>
        <w:t>91</w:t>
      </w:r>
      <w:r>
        <w:rPr>
          <w:rFonts w:hint="eastAsia"/>
        </w:rPr>
        <w:t>年</w:t>
      </w:r>
      <w:r>
        <w:t>2</w:t>
      </w:r>
      <w:r>
        <w:rPr>
          <w:rFonts w:hint="eastAsia"/>
        </w:rPr>
        <w:t>月</w:t>
      </w:r>
      <w:r>
        <w:t>8</w:t>
      </w:r>
      <w:r>
        <w:rPr>
          <w:rFonts w:hint="eastAsia"/>
        </w:rPr>
        <w:t>日</w:t>
      </w:r>
      <w:r w:rsidRPr="008F0A5B">
        <w:rPr>
          <w:rFonts w:hint="eastAsia"/>
        </w:rPr>
        <w:t>衛署醫字第</w:t>
      </w:r>
      <w:r w:rsidRPr="008F0A5B">
        <w:t>0910014830</w:t>
      </w:r>
      <w:r w:rsidRPr="008F0A5B">
        <w:rPr>
          <w:rFonts w:hint="eastAsia"/>
        </w:rPr>
        <w:t>號函</w:t>
      </w:r>
      <w:r>
        <w:rPr>
          <w:rFonts w:hint="eastAsia"/>
        </w:rPr>
        <w:t>示，該函示主要針對醫師「</w:t>
      </w:r>
      <w:r w:rsidRPr="00A63648">
        <w:rPr>
          <w:rFonts w:ascii="新細明體" w:hAnsi="新細明體" w:hint="eastAsia"/>
        </w:rPr>
        <w:t>雞尾酒療法」為民眾減肥，其使用之藥物非屬其適應症</w:t>
      </w:r>
      <w:r>
        <w:rPr>
          <w:rFonts w:ascii="新細明體" w:hAnsi="新細明體" w:hint="eastAsia"/>
        </w:rPr>
        <w:t>為對象，函示</w:t>
      </w:r>
      <w:r>
        <w:rPr>
          <w:rFonts w:hint="eastAsia"/>
        </w:rPr>
        <w:t>內容為</w:t>
      </w:r>
      <w:r>
        <w:rPr>
          <w:rFonts w:ascii="新細明體" w:hAnsi="新細明體" w:hint="eastAsia"/>
        </w:rPr>
        <w:t>『</w:t>
      </w:r>
      <w:r w:rsidRPr="008F0A5B">
        <w:rPr>
          <w:rFonts w:hint="eastAsia"/>
        </w:rPr>
        <w:t>藥品「仿單核准適應症外的使用」原則</w:t>
      </w:r>
      <w:r>
        <w:rPr>
          <w:rFonts w:ascii="新細明體" w:hAnsi="新細明體" w:hint="eastAsia"/>
        </w:rPr>
        <w:t>』</w:t>
      </w:r>
      <w:r w:rsidRPr="008F0A5B">
        <w:rPr>
          <w:rFonts w:hint="eastAsia"/>
        </w:rPr>
        <w:t>如下：</w:t>
      </w:r>
      <w:r w:rsidRPr="008F0A5B">
        <w:t>1</w:t>
      </w:r>
      <w:r>
        <w:rPr>
          <w:rFonts w:hint="eastAsia"/>
        </w:rPr>
        <w:t>、</w:t>
      </w:r>
      <w:r w:rsidRPr="008F0A5B">
        <w:rPr>
          <w:rFonts w:hint="eastAsia"/>
        </w:rPr>
        <w:t>需基於治療疾病的需要（正當理由）</w:t>
      </w:r>
      <w:r>
        <w:rPr>
          <w:rFonts w:hint="eastAsia"/>
        </w:rPr>
        <w:t>；</w:t>
      </w:r>
      <w:r w:rsidRPr="008F0A5B">
        <w:t>2</w:t>
      </w:r>
      <w:r>
        <w:rPr>
          <w:rFonts w:hint="eastAsia"/>
        </w:rPr>
        <w:t>、</w:t>
      </w:r>
      <w:r w:rsidRPr="008F0A5B">
        <w:rPr>
          <w:rFonts w:hint="eastAsia"/>
        </w:rPr>
        <w:t>需符合醫學原理及臨床藥理（合理使用）</w:t>
      </w:r>
      <w:r>
        <w:rPr>
          <w:rFonts w:hint="eastAsia"/>
        </w:rPr>
        <w:t>；</w:t>
      </w:r>
      <w:r w:rsidRPr="008F0A5B">
        <w:t>3</w:t>
      </w:r>
      <w:r>
        <w:rPr>
          <w:rFonts w:hint="eastAsia"/>
        </w:rPr>
        <w:t>、</w:t>
      </w:r>
      <w:r w:rsidRPr="008F0A5B">
        <w:rPr>
          <w:rFonts w:hint="eastAsia"/>
        </w:rPr>
        <w:t>應據實告知病人</w:t>
      </w:r>
      <w:r>
        <w:rPr>
          <w:rFonts w:hint="eastAsia"/>
        </w:rPr>
        <w:t>；</w:t>
      </w:r>
      <w:r w:rsidRPr="008F0A5B">
        <w:t>4</w:t>
      </w:r>
      <w:r>
        <w:rPr>
          <w:rFonts w:hint="eastAsia"/>
        </w:rPr>
        <w:t>、</w:t>
      </w:r>
      <w:r w:rsidRPr="008F0A5B">
        <w:rPr>
          <w:rFonts w:hint="eastAsia"/>
        </w:rPr>
        <w:t>不得違反藥品使用當時，已知的、具公信力的醫學文獻</w:t>
      </w:r>
      <w:r>
        <w:rPr>
          <w:rFonts w:hint="eastAsia"/>
        </w:rPr>
        <w:t>；</w:t>
      </w:r>
      <w:r w:rsidRPr="008F0A5B">
        <w:t>5</w:t>
      </w:r>
      <w:r>
        <w:rPr>
          <w:rFonts w:hint="eastAsia"/>
        </w:rPr>
        <w:t>、</w:t>
      </w:r>
      <w:r w:rsidRPr="008F0A5B">
        <w:rPr>
          <w:rFonts w:hint="eastAsia"/>
        </w:rPr>
        <w:t>用藥應盡量以單方為主，如同時使用多種藥品，應特別注意其綜合使用的療效、藥品交互作用或不良反應等問題</w:t>
      </w:r>
      <w:r>
        <w:rPr>
          <w:rFonts w:hint="eastAsia"/>
        </w:rPr>
        <w:t>』，其餘均為零散新聞事件發生後衛生署相關主管對外發表之意見</w:t>
      </w:r>
      <w:r>
        <w:rPr>
          <w:rStyle w:val="ac"/>
        </w:rPr>
        <w:footnoteReference w:id="87"/>
      </w:r>
      <w:r>
        <w:rPr>
          <w:rFonts w:hint="eastAsia"/>
        </w:rPr>
        <w:t>。從上開函示可以得出的結論是衛生署函示規範對象針對是醫師，而規範行為態樣是針對藥品仿單</w:t>
      </w:r>
      <w:r>
        <w:rPr>
          <w:rFonts w:hint="eastAsia"/>
        </w:rPr>
        <w:lastRenderedPageBreak/>
        <w:t>外使用中</w:t>
      </w:r>
      <w:r w:rsidRPr="00E054E5">
        <w:rPr>
          <w:rFonts w:hint="eastAsia"/>
        </w:rPr>
        <w:t>使用症狀與仿單建議適應症不同</w:t>
      </w:r>
      <w:r>
        <w:rPr>
          <w:rFonts w:hint="eastAsia"/>
        </w:rPr>
        <w:t>之類型，規範方式只要符合用藥之正當理與合理使用，再加上向患者說明以及不違反用藥當時已知醫療上科學資訊，並且盡量避免複方使用，醫師即可為仿單核准適應症外之用藥。</w:t>
      </w:r>
    </w:p>
    <w:p w:rsidR="00DB326D" w:rsidRDefault="00DB326D" w:rsidP="00DB326D">
      <w:pPr>
        <w:pStyle w:val="HTML"/>
        <w:ind w:left="-59"/>
      </w:pPr>
      <w:r>
        <w:t xml:space="preserve">   2</w:t>
      </w:r>
      <w:r>
        <w:rPr>
          <w:rFonts w:hint="eastAsia"/>
        </w:rPr>
        <w:t>、上開函示產生管制上缺失</w:t>
      </w:r>
      <w:r>
        <w:t xml:space="preserve">                                                 </w:t>
      </w:r>
      <w:r>
        <w:rPr>
          <w:rFonts w:hint="eastAsia"/>
        </w:rPr>
        <w:t>（</w:t>
      </w:r>
      <w:r>
        <w:t>1</w:t>
      </w:r>
      <w:r>
        <w:rPr>
          <w:rFonts w:hint="eastAsia"/>
        </w:rPr>
        <w:t>）管制仿單外使用之客體</w:t>
      </w:r>
      <w:r>
        <w:t xml:space="preserve"> </w:t>
      </w:r>
    </w:p>
    <w:p w:rsidR="00DB326D" w:rsidRDefault="00DB326D" w:rsidP="00DB326D">
      <w:pPr>
        <w:pStyle w:val="HTML"/>
      </w:pPr>
      <w:r>
        <w:t xml:space="preserve">     </w:t>
      </w:r>
      <w:r>
        <w:rPr>
          <w:rFonts w:hint="eastAsia"/>
        </w:rPr>
        <w:t>此函管制之客體是否僅限於藥品，關於醫療器材及醫療技術不在此列，因此有學者認為醫療技術並不受該函示所適用</w:t>
      </w:r>
      <w:r>
        <w:rPr>
          <w:rStyle w:val="ac"/>
          <w:rFonts w:cs="細明體"/>
        </w:rPr>
        <w:footnoteReference w:id="88"/>
      </w:r>
      <w:r>
        <w:rPr>
          <w:rFonts w:hint="eastAsia"/>
        </w:rPr>
        <w:t>，故並無符合函示中所定條件即可進行醫療行為之意。但醫療實務上仿單外使用並不是藥品所獨有，醫療器材及醫療技術亦常見有與衛生署核准用途不相符之情形，已如前述，是否這些仿單外使用即為不正當之醫療業務行為，若欲合法進行醫療行為之唯一途徑是否即進行人體試驗，衛生署並未提供明確方針。</w:t>
      </w:r>
      <w:r>
        <w:t xml:space="preserve">                                                   </w:t>
      </w:r>
      <w:r>
        <w:rPr>
          <w:rFonts w:hint="eastAsia"/>
        </w:rPr>
        <w:t>（</w:t>
      </w:r>
      <w:r>
        <w:t>2</w:t>
      </w:r>
      <w:r>
        <w:rPr>
          <w:rFonts w:hint="eastAsia"/>
        </w:rPr>
        <w:t>）管制仿單外使用之類型</w:t>
      </w:r>
      <w:r>
        <w:t xml:space="preserve"> </w:t>
      </w:r>
    </w:p>
    <w:p w:rsidR="00DB326D" w:rsidRDefault="00DB326D" w:rsidP="00DB326D">
      <w:pPr>
        <w:pStyle w:val="HTML"/>
      </w:pPr>
      <w:r>
        <w:t xml:space="preserve">     </w:t>
      </w:r>
      <w:r>
        <w:rPr>
          <w:rFonts w:hint="eastAsia"/>
        </w:rPr>
        <w:t>對於仿單外使用是否僅限於適應症以外之使用，有無包括其他類型？該函示明確表明係針對核准適應症以外之使用，但仿單外使用類型可概分為</w:t>
      </w:r>
      <w:r>
        <w:t>4</w:t>
      </w:r>
      <w:r>
        <w:rPr>
          <w:rFonts w:hint="eastAsia"/>
        </w:rPr>
        <w:t>類型，除使用途徑之變動，在我國歸類為新藥管制，已如前述，本函示僅說明適用於核准適應症以外使用類型，其餘尚有使用</w:t>
      </w:r>
      <w:r w:rsidRPr="00ED50EA">
        <w:rPr>
          <w:rFonts w:hint="eastAsia"/>
        </w:rPr>
        <w:t>劑量、治療期間</w:t>
      </w:r>
      <w:r>
        <w:rPr>
          <w:rFonts w:hint="eastAsia"/>
        </w:rPr>
        <w:t>、</w:t>
      </w:r>
      <w:r w:rsidRPr="00ED50EA">
        <w:rPr>
          <w:rFonts w:hint="eastAsia"/>
        </w:rPr>
        <w:t>注意事項</w:t>
      </w:r>
      <w:r>
        <w:rPr>
          <w:rFonts w:hint="eastAsia"/>
        </w:rPr>
        <w:t>及使用族群與仿單記載不同之類型，是否這些類型亦不被包括在符合本函示條件下准許之醫療行為，即必須等同於新藥看待？從函示中並未提出解答。</w:t>
      </w:r>
      <w:r>
        <w:t xml:space="preserve">                                </w:t>
      </w:r>
      <w:r>
        <w:rPr>
          <w:rFonts w:hint="eastAsia"/>
        </w:rPr>
        <w:t>（</w:t>
      </w:r>
      <w:r>
        <w:t>3</w:t>
      </w:r>
      <w:r>
        <w:rPr>
          <w:rFonts w:hint="eastAsia"/>
        </w:rPr>
        <w:t>）仿單外使用之目的</w:t>
      </w:r>
    </w:p>
    <w:p w:rsidR="00DB326D" w:rsidRDefault="00DB326D" w:rsidP="00DB326D">
      <w:pPr>
        <w:pStyle w:val="HTML"/>
      </w:pPr>
      <w:r>
        <w:t xml:space="preserve">     </w:t>
      </w:r>
      <w:r>
        <w:rPr>
          <w:rFonts w:hint="eastAsia"/>
        </w:rPr>
        <w:t>對於函示條件之仿單核准適應症外使用限於治療的需要，亦即若出於研究目的則無法依循本函示為之，故只要醫師係為發表文章或者受委託研究之目的，</w:t>
      </w:r>
      <w:r>
        <w:t xml:space="preserve">            </w:t>
      </w:r>
      <w:r>
        <w:rPr>
          <w:rFonts w:hint="eastAsia"/>
        </w:rPr>
        <w:t>即應依</w:t>
      </w:r>
      <w:r w:rsidRPr="00F6265C">
        <w:rPr>
          <w:rFonts w:hint="eastAsia"/>
        </w:rPr>
        <w:t>行政院衛生署</w:t>
      </w:r>
      <w:r>
        <w:t>96</w:t>
      </w:r>
      <w:r>
        <w:rPr>
          <w:rFonts w:hint="eastAsia"/>
        </w:rPr>
        <w:t>年</w:t>
      </w:r>
      <w:r>
        <w:t>4</w:t>
      </w:r>
      <w:r>
        <w:rPr>
          <w:rFonts w:hint="eastAsia"/>
        </w:rPr>
        <w:t>月</w:t>
      </w:r>
      <w:r>
        <w:t>12</w:t>
      </w:r>
      <w:r>
        <w:rPr>
          <w:rFonts w:hint="eastAsia"/>
        </w:rPr>
        <w:t>日</w:t>
      </w:r>
      <w:r w:rsidRPr="00F6265C">
        <w:rPr>
          <w:rFonts w:hint="eastAsia"/>
        </w:rPr>
        <w:t>衛署藥字第</w:t>
      </w:r>
      <w:r w:rsidRPr="00F6265C">
        <w:t>0960305954</w:t>
      </w:r>
      <w:r w:rsidRPr="00F6265C">
        <w:rPr>
          <w:rFonts w:hint="eastAsia"/>
        </w:rPr>
        <w:t>號函</w:t>
      </w:r>
      <w:r>
        <w:rPr>
          <w:rFonts w:hint="eastAsia"/>
        </w:rPr>
        <w:t>示針對</w:t>
      </w:r>
      <w:r w:rsidRPr="00650EDD">
        <w:rPr>
          <w:rStyle w:val="memo11ptred1"/>
          <w:rFonts w:ascii="新細明體" w:eastAsia="新細明體" w:hAnsi="新細明體" w:cs="細明體" w:hint="eastAsia"/>
          <w:color w:val="auto"/>
        </w:rPr>
        <w:t>已上市藥品申請學術研究用之臨床試驗</w:t>
      </w:r>
      <w:r w:rsidRPr="00650EDD">
        <w:rPr>
          <w:rFonts w:ascii="新細明體" w:eastAsia="新細明體" w:hAnsi="新細明體" w:hint="eastAsia"/>
        </w:rPr>
        <w:t>，若使用劑量如於行政院衛生署原核准範圍內者，得由試驗醫院人體試驗倫理委員會依醫療法相關規定自行列管。若試驗醫院人體</w:t>
      </w:r>
      <w:r w:rsidRPr="00F6265C">
        <w:rPr>
          <w:rFonts w:hint="eastAsia"/>
        </w:rPr>
        <w:t>試驗倫理委員會本於權責審查顯有疑慮，或認屬顯有安全之虞者，得函送行政院衛生署申請臨床試驗審查</w:t>
      </w:r>
      <w:r>
        <w:rPr>
          <w:rFonts w:hint="eastAsia"/>
        </w:rPr>
        <w:t>。因此，仿單外使用之研究，至少須經試驗醫院</w:t>
      </w:r>
      <w:r>
        <w:t>IRB</w:t>
      </w:r>
      <w:r>
        <w:rPr>
          <w:rFonts w:hint="eastAsia"/>
        </w:rPr>
        <w:t>列管，若屬使用劑量變更之仿單外使用或安全上有疑慮，則要向衛生署申請臨床試驗審查，換言之，在我國不存在僅取得患者同意而逕由醫師進行藥物之仿單外使用研究的空間。至於醫師所為究竟是治療或研究，有時二者或有交集，但仍可從醫師的動機及進行醫療行為的目的來做區別</w:t>
      </w:r>
      <w:r>
        <w:rPr>
          <w:rStyle w:val="ac"/>
          <w:rFonts w:cs="細明體"/>
        </w:rPr>
        <w:footnoteReference w:id="89"/>
      </w:r>
      <w:r>
        <w:rPr>
          <w:rFonts w:hint="eastAsia"/>
        </w:rPr>
        <w:t>。</w:t>
      </w:r>
      <w:r>
        <w:t xml:space="preserve">                                     </w:t>
      </w:r>
      <w:r>
        <w:rPr>
          <w:rFonts w:hint="eastAsia"/>
        </w:rPr>
        <w:t>（</w:t>
      </w:r>
      <w:r>
        <w:t>4</w:t>
      </w:r>
      <w:r>
        <w:rPr>
          <w:rFonts w:hint="eastAsia"/>
        </w:rPr>
        <w:t>）仿單外使用與告知後同意原則</w:t>
      </w:r>
      <w:r>
        <w:t xml:space="preserve"> </w:t>
      </w:r>
    </w:p>
    <w:p w:rsidR="00DB326D" w:rsidRDefault="00DB326D" w:rsidP="00DB326D">
      <w:pPr>
        <w:pStyle w:val="HTML"/>
      </w:pPr>
      <w:r>
        <w:t xml:space="preserve">    </w:t>
      </w:r>
      <w:r>
        <w:rPr>
          <w:rFonts w:hint="eastAsia"/>
        </w:rPr>
        <w:t>函示所謂對於據實告知病人是否等同於有告知後同意原則之適用，亦即醫師應說明用藥屬於仿單核准適應症外使用外，並應取得患者同意後始得為之衛生署上開函示並未說明清楚；另外，據實告知之內容為何，亦未見函示中具體說明，</w:t>
      </w:r>
      <w:r>
        <w:rPr>
          <w:rFonts w:hint="eastAsia"/>
        </w:rPr>
        <w:lastRenderedPageBreak/>
        <w:t>是否回歸醫師法第</w:t>
      </w:r>
      <w:r>
        <w:t>12</w:t>
      </w:r>
      <w:r>
        <w:rPr>
          <w:rFonts w:hint="eastAsia"/>
        </w:rPr>
        <w:t>條之一規定向患者及其家屬說明用藥是仿單核准適應症外使用及可能之不良反應即可，還是必須告知針對該適應症有其他衛生署署核之替代藥物？以及二種藥物的安全性與效益差別？仿單外使用之醫學上支持相關資訊？仍須衛生署進一步加以闡釋。</w:t>
      </w:r>
      <w:r>
        <w:t xml:space="preserve">                                               </w:t>
      </w:r>
      <w:r>
        <w:rPr>
          <w:rFonts w:hint="eastAsia"/>
        </w:rPr>
        <w:t>（</w:t>
      </w:r>
      <w:r>
        <w:t>5</w:t>
      </w:r>
      <w:r>
        <w:rPr>
          <w:rFonts w:hint="eastAsia"/>
        </w:rPr>
        <w:t>）仿單外使用之正當性</w:t>
      </w:r>
      <w:r>
        <w:t xml:space="preserve">                                                      </w:t>
      </w:r>
    </w:p>
    <w:p w:rsidR="00DB326D" w:rsidRDefault="00DB326D" w:rsidP="00DB326D">
      <w:pPr>
        <w:pStyle w:val="HTML"/>
      </w:pPr>
      <w:r>
        <w:t xml:space="preserve">     </w:t>
      </w:r>
      <w:r>
        <w:rPr>
          <w:rFonts w:hint="eastAsia"/>
        </w:rPr>
        <w:t>對於仿單核准適應症外使用之正當性，上開函示僅說明須為治療疾病之需要，但對於醫師在開藥時是否有產生利益衝突，亦即雖有治療疾病之需要但非最佳選擇，只因醫師可能因該用藥從藥商方面亦可能獲得一定好處，例如受藥商委託擔任醫學繼續教育的學術演講人，而演講之內容即可能與該仿單外使用用藥有關，並從藥商處取得演講費用，是否符合函示中的正當理由？衛生署函示並未加以說明，從衛生署</w:t>
      </w:r>
      <w:r>
        <w:t>95</w:t>
      </w:r>
      <w:r>
        <w:rPr>
          <w:rFonts w:hint="eastAsia"/>
        </w:rPr>
        <w:t>年</w:t>
      </w:r>
      <w:r>
        <w:t>9</w:t>
      </w:r>
      <w:r>
        <w:rPr>
          <w:rFonts w:hint="eastAsia"/>
        </w:rPr>
        <w:t>月</w:t>
      </w:r>
      <w:r>
        <w:t>8</w:t>
      </w:r>
      <w:r>
        <w:rPr>
          <w:rFonts w:hint="eastAsia"/>
        </w:rPr>
        <w:t>日公告之醫師與藥商間關係守則中亦僅規範接受藥商餽贈不得與用藥行為連結</w:t>
      </w:r>
      <w:r>
        <w:rPr>
          <w:rStyle w:val="ac"/>
          <w:rFonts w:cs="細明體"/>
        </w:rPr>
        <w:footnoteReference w:id="90"/>
      </w:r>
      <w:r>
        <w:rPr>
          <w:rFonts w:hint="eastAsia"/>
        </w:rPr>
        <w:t>，對於用藥其他可能的利益衝突並非加以管制，且對於違反上開守則而為仿單外使用的效果為何？在上開守則亦無法律效果之規定，是否即可歸類為醫師法第</w:t>
      </w:r>
      <w:r>
        <w:t>25</w:t>
      </w:r>
      <w:r>
        <w:rPr>
          <w:rFonts w:hint="eastAsia"/>
        </w:rPr>
        <w:t>條第</w:t>
      </w:r>
      <w:r>
        <w:t>3</w:t>
      </w:r>
      <w:r>
        <w:rPr>
          <w:rFonts w:hint="eastAsia"/>
        </w:rPr>
        <w:t>款非屬醫療必要之過度用藥或第</w:t>
      </w:r>
      <w:r>
        <w:t>4</w:t>
      </w:r>
      <w:r>
        <w:rPr>
          <w:rFonts w:hint="eastAsia"/>
        </w:rPr>
        <w:t>款違反醫學倫理之業務上不正當行為得移送懲戒，因無相關移送懲戒案例，尚待主管機關即衛生署表示意見。</w:t>
      </w:r>
      <w:r>
        <w:t xml:space="preserve">                                                 </w:t>
      </w:r>
      <w:r>
        <w:rPr>
          <w:rFonts w:hint="eastAsia"/>
        </w:rPr>
        <w:t>（</w:t>
      </w:r>
      <w:r>
        <w:t>6</w:t>
      </w:r>
      <w:r>
        <w:rPr>
          <w:rFonts w:hint="eastAsia"/>
        </w:rPr>
        <w:t>）仿單外使用之適當性</w:t>
      </w:r>
    </w:p>
    <w:p w:rsidR="00DB326D" w:rsidRDefault="00DB326D" w:rsidP="00DB326D">
      <w:pPr>
        <w:autoSpaceDE w:val="0"/>
        <w:autoSpaceDN w:val="0"/>
        <w:adjustRightInd w:val="0"/>
      </w:pPr>
      <w:r>
        <w:t xml:space="preserve">    </w:t>
      </w:r>
      <w:r>
        <w:rPr>
          <w:rFonts w:hint="eastAsia"/>
        </w:rPr>
        <w:t>函示中對於醫師仿單核准外適應症使用之用藥適當性，只要</w:t>
      </w:r>
      <w:r w:rsidRPr="008F0A5B">
        <w:rPr>
          <w:rFonts w:hint="eastAsia"/>
        </w:rPr>
        <w:t>符合醫學原理及臨床藥理</w:t>
      </w:r>
      <w:r>
        <w:rPr>
          <w:rFonts w:hint="eastAsia"/>
        </w:rPr>
        <w:t>及</w:t>
      </w:r>
      <w:r w:rsidRPr="008F0A5B">
        <w:rPr>
          <w:rFonts w:hint="eastAsia"/>
        </w:rPr>
        <w:t>不違反藥品使用當時，已知的、具公信力的醫學文獻</w:t>
      </w:r>
      <w:r>
        <w:rPr>
          <w:rFonts w:hint="eastAsia"/>
        </w:rPr>
        <w:t>及</w:t>
      </w:r>
      <w:r w:rsidRPr="008F0A5B">
        <w:rPr>
          <w:rFonts w:hint="eastAsia"/>
        </w:rPr>
        <w:t>應盡量以單方為主</w:t>
      </w:r>
      <w:r>
        <w:rPr>
          <w:rFonts w:hint="eastAsia"/>
        </w:rPr>
        <w:t>之要求即滿足</w:t>
      </w:r>
      <w:r w:rsidRPr="008F0A5B">
        <w:rPr>
          <w:rFonts w:hint="eastAsia"/>
        </w:rPr>
        <w:t>，</w:t>
      </w:r>
      <w:r>
        <w:rPr>
          <w:rFonts w:hint="eastAsia"/>
        </w:rPr>
        <w:t>並非積極要求有何醫學上有科學研究之報告支持此種適應症外，而係消極地只要不違反藥品使用當時已存在之醫學文獻即可，對於所謂符合醫學原理及臨床藥理之相關依據，並未說明，個人經驗與同儕經驗之推論或創意是否已足？對於醫學文獻的品質及來源，是否應加以分類及篩檢，而非可「照單全收」？因為醫學文獻之品質可以左右醫師信賴基礎的正當性，進而影響用藥之適當性，醫學文獻在評價上可以利用文獻之效度與信度</w:t>
      </w:r>
      <w:r w:rsidRPr="00B510A9">
        <w:rPr>
          <w:rFonts w:cs="文鼎新細明" w:hint="eastAsia"/>
          <w:kern w:val="0"/>
        </w:rPr>
        <w:t>（</w:t>
      </w:r>
      <w:r w:rsidRPr="00B510A9">
        <w:rPr>
          <w:kern w:val="0"/>
        </w:rPr>
        <w:t>Validity/Reliability</w:t>
      </w:r>
      <w:r w:rsidRPr="00B510A9">
        <w:rPr>
          <w:rFonts w:cs="文鼎新細明" w:hint="eastAsia"/>
          <w:kern w:val="0"/>
        </w:rPr>
        <w:t>）</w:t>
      </w:r>
      <w:r>
        <w:rPr>
          <w:rFonts w:cs="文鼎新細明" w:hint="eastAsia"/>
          <w:kern w:val="0"/>
        </w:rPr>
        <w:t>、</w:t>
      </w:r>
      <w:r w:rsidRPr="00B510A9">
        <w:rPr>
          <w:rFonts w:cs="文鼎新細明" w:hint="eastAsia"/>
          <w:kern w:val="0"/>
        </w:rPr>
        <w:t>重要性</w:t>
      </w:r>
      <w:r>
        <w:rPr>
          <w:rFonts w:cs="文鼎新細明" w:hint="eastAsia"/>
          <w:kern w:val="0"/>
        </w:rPr>
        <w:t>（</w:t>
      </w:r>
      <w:r w:rsidRPr="00B510A9">
        <w:rPr>
          <w:kern w:val="0"/>
        </w:rPr>
        <w:t>Importance/Impact</w:t>
      </w:r>
      <w:r w:rsidRPr="00B510A9">
        <w:rPr>
          <w:rFonts w:cs="文鼎新細明" w:hint="eastAsia"/>
          <w:kern w:val="0"/>
        </w:rPr>
        <w:t>）</w:t>
      </w:r>
      <w:r>
        <w:rPr>
          <w:rFonts w:cs="文鼎新細明" w:hint="eastAsia"/>
          <w:kern w:val="0"/>
        </w:rPr>
        <w:t>及</w:t>
      </w:r>
      <w:r w:rsidRPr="00B510A9">
        <w:rPr>
          <w:rFonts w:cs="文鼎新細明" w:hint="eastAsia"/>
          <w:kern w:val="0"/>
        </w:rPr>
        <w:t>臨床適用性（</w:t>
      </w:r>
      <w:r w:rsidRPr="00B510A9">
        <w:rPr>
          <w:kern w:val="0"/>
        </w:rPr>
        <w:t>Practice/Applicability</w:t>
      </w:r>
      <w:r w:rsidRPr="00B510A9">
        <w:rPr>
          <w:rFonts w:cs="文鼎新細明" w:hint="eastAsia"/>
          <w:kern w:val="0"/>
        </w:rPr>
        <w:t>）</w:t>
      </w:r>
      <w:r>
        <w:rPr>
          <w:rFonts w:cs="文鼎新細明" w:hint="eastAsia"/>
          <w:kern w:val="0"/>
        </w:rPr>
        <w:t>來加以衝量，簡言之，對於醫學文獻要問能否相信它、相信後結論是否重要，結論是否能用在病患身上</w:t>
      </w:r>
      <w:r>
        <w:rPr>
          <w:rStyle w:val="ac"/>
          <w:rFonts w:cs="文鼎新細明"/>
          <w:kern w:val="0"/>
        </w:rPr>
        <w:footnoteReference w:id="91"/>
      </w:r>
      <w:r>
        <w:rPr>
          <w:rFonts w:cs="文鼎新細明" w:hint="eastAsia"/>
          <w:kern w:val="0"/>
        </w:rPr>
        <w:t>，並非只要有醫學文獻存在即可認醫師用藥是適當，而不問醫學文獻的品質以及結論能否適用在患者身上。至醫學文獻的來源亦可作為確保品質之手段，例如是否有無同儕審查制度以及與藥商利益資訊揭露等，上開函示內容未就可做為醫師用藥信賴基礎之醫學文獻再做資格上規範顯不週延。</w:t>
      </w:r>
    </w:p>
    <w:p w:rsidR="00DB326D" w:rsidRDefault="00DB326D" w:rsidP="00DB326D">
      <w:pPr>
        <w:widowControl/>
        <w:spacing w:before="100" w:beforeAutospacing="1" w:after="100" w:afterAutospacing="1"/>
      </w:pPr>
      <w:r>
        <w:rPr>
          <w:rFonts w:hint="eastAsia"/>
        </w:rPr>
        <w:t>（二）仿單外使用之全民健保給付管制及缺失</w:t>
      </w:r>
    </w:p>
    <w:p w:rsidR="00DB326D" w:rsidRDefault="00DB326D" w:rsidP="00DB326D">
      <w:pPr>
        <w:widowControl/>
        <w:spacing w:before="100" w:beforeAutospacing="1" w:after="100" w:afterAutospacing="1"/>
      </w:pPr>
      <w:r>
        <w:t xml:space="preserve"> 1</w:t>
      </w:r>
      <w:r>
        <w:rPr>
          <w:rFonts w:hint="eastAsia"/>
        </w:rPr>
        <w:t>、仿單外使用用藥非健保局給付項目</w:t>
      </w:r>
      <w:r>
        <w:t xml:space="preserve">      </w:t>
      </w:r>
    </w:p>
    <w:p w:rsidR="00DB326D" w:rsidRDefault="00DB326D" w:rsidP="00DB326D">
      <w:pPr>
        <w:widowControl/>
        <w:spacing w:before="100" w:beforeAutospacing="1" w:after="100" w:afterAutospacing="1"/>
        <w:rPr>
          <w:rFonts w:ascii="Arial" w:hAnsi="Arial" w:cs="Arial"/>
          <w:szCs w:val="28"/>
        </w:rPr>
      </w:pPr>
      <w:r>
        <w:lastRenderedPageBreak/>
        <w:t xml:space="preserve">    </w:t>
      </w:r>
      <w:r>
        <w:rPr>
          <w:rFonts w:hint="eastAsia"/>
        </w:rPr>
        <w:t>依全民健康保險法第</w:t>
      </w:r>
      <w:r>
        <w:t>52</w:t>
      </w:r>
      <w:r>
        <w:rPr>
          <w:rFonts w:hint="eastAsia"/>
        </w:rPr>
        <w:t>條授權健保局就醫事服務機構之醫療服務</w:t>
      </w:r>
      <w:r w:rsidRPr="000A0331">
        <w:rPr>
          <w:rFonts w:ascii="新細明體" w:cs="DFKaiShu-SB-Estd-BF" w:hint="eastAsia"/>
          <w:szCs w:val="28"/>
        </w:rPr>
        <w:t>項目、數量及品質</w:t>
      </w:r>
      <w:r>
        <w:rPr>
          <w:rFonts w:ascii="新細明體" w:cs="DFKaiShu-SB-Estd-BF" w:hint="eastAsia"/>
          <w:szCs w:val="28"/>
        </w:rPr>
        <w:t>進行審查，而制定</w:t>
      </w:r>
      <w:r w:rsidRPr="000A0331">
        <w:rPr>
          <w:rFonts w:ascii="新細明體" w:cs="DFKaiShu-SB-Estd-BF" w:hint="eastAsia"/>
          <w:szCs w:val="28"/>
        </w:rPr>
        <w:t>「全民健康保險醫療費用審查辦法」</w:t>
      </w:r>
      <w:r>
        <w:rPr>
          <w:rFonts w:ascii="新細明體" w:cs="DFKaiShu-SB-Estd-BF" w:hint="eastAsia"/>
          <w:szCs w:val="28"/>
        </w:rPr>
        <w:t>，而健保局內部為使進行審查醫療費用之專家委員有所依據，再制定</w:t>
      </w:r>
      <w:r w:rsidRPr="00AC6B38">
        <w:rPr>
          <w:rFonts w:hint="eastAsia"/>
        </w:rPr>
        <w:t>全民健康保險醫療費用審查注意事項</w:t>
      </w:r>
      <w:r>
        <w:rPr>
          <w:rFonts w:hint="eastAsia"/>
        </w:rPr>
        <w:t>，依上開審查注意事項第</w:t>
      </w:r>
      <w:r>
        <w:t>2</w:t>
      </w:r>
      <w:r>
        <w:rPr>
          <w:rFonts w:hint="eastAsia"/>
        </w:rPr>
        <w:t>條第</w:t>
      </w:r>
      <w:r>
        <w:t>4</w:t>
      </w:r>
      <w:r>
        <w:rPr>
          <w:rFonts w:hint="eastAsia"/>
        </w:rPr>
        <w:t>項第</w:t>
      </w:r>
      <w:r w:rsidRPr="00AC6B38">
        <w:t>10</w:t>
      </w:r>
      <w:r>
        <w:rPr>
          <w:rFonts w:hint="eastAsia"/>
        </w:rPr>
        <w:t>款規定「</w:t>
      </w:r>
      <w:r w:rsidRPr="00AC6B38">
        <w:rPr>
          <w:rFonts w:hint="eastAsia"/>
        </w:rPr>
        <w:t>用藥份量與病情不符或有重複</w:t>
      </w:r>
      <w:r>
        <w:rPr>
          <w:rFonts w:hint="eastAsia"/>
        </w:rPr>
        <w:t>」；第</w:t>
      </w:r>
      <w:r w:rsidRPr="00AC6B38">
        <w:rPr>
          <w:rFonts w:ascii="新細明體" w:hAnsi="新細明體" w:cs="新細明體"/>
          <w:color w:val="000000"/>
        </w:rPr>
        <w:t>13</w:t>
      </w:r>
      <w:r>
        <w:rPr>
          <w:rFonts w:ascii="新細明體" w:hAnsi="新細明體" w:cs="新細明體" w:hint="eastAsia"/>
          <w:color w:val="000000"/>
        </w:rPr>
        <w:t>款「</w:t>
      </w:r>
      <w:r w:rsidRPr="00AC6B38">
        <w:rPr>
          <w:rFonts w:ascii="新細明體" w:hAnsi="新細明體" w:cs="新細明體" w:hint="eastAsia"/>
          <w:color w:val="000000"/>
        </w:rPr>
        <w:t>適應症不符</w:t>
      </w:r>
      <w:r>
        <w:rPr>
          <w:rFonts w:ascii="新細明體" w:hAnsi="新細明體" w:cs="新細明體" w:hint="eastAsia"/>
          <w:color w:val="000000"/>
        </w:rPr>
        <w:t>」</w:t>
      </w:r>
      <w:r w:rsidRPr="00AC6B38">
        <w:rPr>
          <w:rFonts w:ascii="新細明體" w:hAnsi="新細明體" w:cs="新細明體" w:hint="eastAsia"/>
          <w:color w:val="000000"/>
        </w:rPr>
        <w:t>，不應申報論病例計酬案件</w:t>
      </w:r>
      <w:r>
        <w:rPr>
          <w:rFonts w:ascii="新細明體" w:hAnsi="新細明體" w:cs="新細明體" w:hint="eastAsia"/>
          <w:color w:val="000000"/>
        </w:rPr>
        <w:t>，可知我國健保局對於劑量不符或適應症以外之仿單外使用原則上是不給付，係以此行政規則管制仿單外使用之情形。在健保局所公布之</w:t>
      </w:r>
      <w:r w:rsidRPr="00650EDD">
        <w:rPr>
          <w:rStyle w:val="ad"/>
          <w:rFonts w:ascii="新細明體" w:hAnsi="新細明體" w:cs="Arial" w:hint="eastAsia"/>
          <w:color w:val="auto"/>
        </w:rPr>
        <w:t>全民健康保險藥品給付規定通則第</w:t>
      </w:r>
      <w:r w:rsidRPr="00650EDD">
        <w:rPr>
          <w:rStyle w:val="ad"/>
          <w:rFonts w:ascii="新細明體" w:hAnsi="新細明體" w:cs="Arial"/>
          <w:color w:val="auto"/>
        </w:rPr>
        <w:t>7</w:t>
      </w:r>
      <w:r w:rsidRPr="00650EDD">
        <w:rPr>
          <w:rStyle w:val="ad"/>
          <w:rFonts w:ascii="新細明體" w:hAnsi="新細明體" w:cs="Arial" w:hint="eastAsia"/>
          <w:color w:val="auto"/>
        </w:rPr>
        <w:t>項規定「</w:t>
      </w:r>
      <w:r w:rsidRPr="00650EDD">
        <w:rPr>
          <w:rFonts w:ascii="新細明體" w:hAnsi="新細明體" w:cs="Arial" w:hint="eastAsia"/>
          <w:szCs w:val="28"/>
        </w:rPr>
        <w:t>本</w:t>
      </w:r>
      <w:r w:rsidRPr="00211940">
        <w:rPr>
          <w:rFonts w:ascii="Arial" w:hAnsi="Arial" w:cs="Arial" w:hint="eastAsia"/>
          <w:szCs w:val="28"/>
        </w:rPr>
        <w:t>保險處方用藥，需符合中央衛生主管機關核准藥品許可證登載之適應症，並應依病情治療所需劑量，處方合理之含量或規格藥品。</w:t>
      </w:r>
      <w:r>
        <w:rPr>
          <w:rFonts w:ascii="Arial" w:hAnsi="Arial" w:cs="Arial" w:hint="eastAsia"/>
          <w:szCs w:val="28"/>
        </w:rPr>
        <w:t>」及全民健康保險藥價基準第</w:t>
      </w:r>
      <w:r>
        <w:rPr>
          <w:rFonts w:ascii="Arial" w:hAnsi="Arial" w:cs="Arial"/>
          <w:szCs w:val="28"/>
        </w:rPr>
        <w:t>2</w:t>
      </w:r>
      <w:r>
        <w:rPr>
          <w:rFonts w:ascii="Arial" w:hAnsi="Arial" w:cs="Arial" w:hint="eastAsia"/>
          <w:szCs w:val="28"/>
        </w:rPr>
        <w:t>章第</w:t>
      </w:r>
      <w:r>
        <w:rPr>
          <w:rFonts w:ascii="Arial" w:hAnsi="Arial" w:cs="Arial"/>
          <w:szCs w:val="28"/>
        </w:rPr>
        <w:t>2</w:t>
      </w:r>
      <w:r>
        <w:rPr>
          <w:rFonts w:ascii="Arial" w:hAnsi="Arial" w:cs="Arial" w:hint="eastAsia"/>
          <w:szCs w:val="28"/>
        </w:rPr>
        <w:t>節不予支付之藥品中第</w:t>
      </w:r>
      <w:r>
        <w:rPr>
          <w:rFonts w:ascii="Arial" w:hAnsi="Arial" w:cs="Arial"/>
          <w:szCs w:val="28"/>
        </w:rPr>
        <w:t>4</w:t>
      </w:r>
      <w:r>
        <w:rPr>
          <w:rFonts w:ascii="Arial" w:hAnsi="Arial" w:cs="Arial" w:hint="eastAsia"/>
          <w:szCs w:val="28"/>
        </w:rPr>
        <w:t>項規定</w:t>
      </w:r>
      <w:r>
        <w:rPr>
          <w:rFonts w:ascii="新細明體" w:hint="eastAsia"/>
          <w:szCs w:val="20"/>
        </w:rPr>
        <w:t>「</w:t>
      </w:r>
      <w:r>
        <w:rPr>
          <w:rFonts w:cs="Arial" w:hint="eastAsia"/>
          <w:szCs w:val="28"/>
        </w:rPr>
        <w:t>『</w:t>
      </w:r>
      <w:r w:rsidRPr="005400AB">
        <w:rPr>
          <w:rFonts w:ascii="新細明體" w:hint="eastAsia"/>
          <w:szCs w:val="20"/>
        </w:rPr>
        <w:t>不符藥品許可證所載適應症及保險人訂定之「全民健康保險藥品給付規定</w:t>
      </w:r>
      <w:r>
        <w:rPr>
          <w:rFonts w:ascii="新細明體" w:hint="eastAsia"/>
          <w:szCs w:val="20"/>
        </w:rPr>
        <w:t>』</w:t>
      </w:r>
      <w:r w:rsidRPr="005400AB">
        <w:rPr>
          <w:rFonts w:ascii="新細明體" w:hint="eastAsia"/>
          <w:szCs w:val="20"/>
        </w:rPr>
        <w:t>者。惟特殊病例得以個案向保險人申請事前審查，並經核准後支付</w:t>
      </w:r>
      <w:r>
        <w:rPr>
          <w:rFonts w:ascii="新細明體" w:hint="eastAsia"/>
          <w:szCs w:val="20"/>
        </w:rPr>
        <w:t>」</w:t>
      </w:r>
      <w:r>
        <w:rPr>
          <w:rFonts w:ascii="Arial" w:hAnsi="Arial" w:cs="Arial" w:hint="eastAsia"/>
          <w:szCs w:val="28"/>
        </w:rPr>
        <w:t>，將醫師用藥不符合仿單所載之適應症排除在健保給付之列，除非經過用藥前經過健保局事前審查核准。</w:t>
      </w:r>
    </w:p>
    <w:p w:rsidR="00DB326D" w:rsidRDefault="00DB326D" w:rsidP="00DB326D">
      <w:pPr>
        <w:widowControl/>
        <w:spacing w:before="100" w:beforeAutospacing="1" w:after="100" w:afterAutospacing="1"/>
        <w:rPr>
          <w:rFonts w:ascii="Arial" w:hAnsi="Arial" w:cs="Arial"/>
          <w:szCs w:val="28"/>
        </w:rPr>
      </w:pPr>
      <w:r>
        <w:rPr>
          <w:rFonts w:ascii="Arial" w:hAnsi="Arial" w:cs="Arial"/>
          <w:szCs w:val="28"/>
        </w:rPr>
        <w:t xml:space="preserve"> 2</w:t>
      </w:r>
      <w:r>
        <w:rPr>
          <w:rFonts w:ascii="Arial" w:hAnsi="Arial" w:cs="Arial" w:hint="eastAsia"/>
          <w:szCs w:val="28"/>
        </w:rPr>
        <w:t>、全民健保對於仿單外使用給付限制衍生缺失</w:t>
      </w:r>
    </w:p>
    <w:p w:rsidR="00DB326D" w:rsidRDefault="00DB326D" w:rsidP="00DB326D">
      <w:pPr>
        <w:widowControl/>
        <w:spacing w:before="100" w:beforeAutospacing="1" w:after="100" w:afterAutospacing="1"/>
        <w:rPr>
          <w:rFonts w:ascii="Arial" w:hAnsi="Arial" w:cs="Arial"/>
          <w:szCs w:val="28"/>
        </w:rPr>
      </w:pPr>
      <w:r>
        <w:rPr>
          <w:rFonts w:ascii="Arial" w:hAnsi="Arial" w:cs="Arial" w:hint="eastAsia"/>
          <w:szCs w:val="28"/>
        </w:rPr>
        <w:t>（</w:t>
      </w:r>
      <w:r>
        <w:rPr>
          <w:rFonts w:ascii="Arial" w:hAnsi="Arial" w:cs="Arial"/>
          <w:szCs w:val="28"/>
        </w:rPr>
        <w:t>1</w:t>
      </w:r>
      <w:r>
        <w:rPr>
          <w:rFonts w:ascii="Arial" w:hAnsi="Arial" w:cs="Arial" w:hint="eastAsia"/>
          <w:szCs w:val="28"/>
        </w:rPr>
        <w:t>）健保之給付與衛生署有條件許可仿單核准外適應症使用相衝突</w:t>
      </w:r>
      <w:r>
        <w:rPr>
          <w:rFonts w:ascii="Arial" w:hAnsi="Arial" w:cs="Arial"/>
          <w:szCs w:val="28"/>
        </w:rPr>
        <w:t xml:space="preserve"> </w:t>
      </w:r>
    </w:p>
    <w:p w:rsidR="00DB326D" w:rsidRDefault="00DB326D" w:rsidP="00DB326D">
      <w:pPr>
        <w:widowControl/>
        <w:spacing w:before="100" w:beforeAutospacing="1" w:after="100" w:afterAutospacing="1"/>
        <w:rPr>
          <w:rFonts w:ascii="Arial" w:hAnsi="Arial" w:cs="Arial"/>
          <w:szCs w:val="28"/>
        </w:rPr>
      </w:pPr>
      <w:r>
        <w:rPr>
          <w:rFonts w:ascii="Arial" w:hAnsi="Arial" w:cs="Arial"/>
          <w:szCs w:val="28"/>
        </w:rPr>
        <w:t xml:space="preserve">     </w:t>
      </w:r>
      <w:r>
        <w:rPr>
          <w:rFonts w:ascii="Arial" w:hAnsi="Arial" w:cs="Arial" w:hint="eastAsia"/>
          <w:szCs w:val="28"/>
        </w:rPr>
        <w:t>依照衛生署上開函示只要符合所要求</w:t>
      </w:r>
      <w:r>
        <w:rPr>
          <w:rFonts w:ascii="Arial" w:hAnsi="Arial" w:cs="Arial"/>
          <w:szCs w:val="28"/>
        </w:rPr>
        <w:t>5</w:t>
      </w:r>
      <w:r>
        <w:rPr>
          <w:rFonts w:ascii="Arial" w:hAnsi="Arial" w:cs="Arial" w:hint="eastAsia"/>
          <w:szCs w:val="28"/>
        </w:rPr>
        <w:t>個要件，即可為合法仿單核准外適應症使用，已如前述，衛生署並無要求醫師在用藥前要先取得衛生署核准，然而，卻在仿單外使用之藥品健保費用請求上，若無經健保局事前審查，即使符合衛生署之合法仿單核准適應症外用藥，仍面臨無法向健保局請領藥品費用之窘境，造成醫師一方面是符合健保局主管機關即衛生署之合法用藥，一方面卻又變成無法向健保局依據健保合約請領以患者（被保險人）最佳利益判斷之適應症外用藥所產生之藥品費用。</w:t>
      </w:r>
      <w:r>
        <w:rPr>
          <w:rFonts w:ascii="Arial" w:hAnsi="Arial" w:cs="Arial"/>
          <w:szCs w:val="28"/>
        </w:rPr>
        <w:t xml:space="preserve">                                                                    </w:t>
      </w:r>
      <w:r>
        <w:rPr>
          <w:rFonts w:ascii="Arial" w:hAnsi="Arial" w:cs="Arial" w:hint="eastAsia"/>
          <w:szCs w:val="28"/>
        </w:rPr>
        <w:t>（</w:t>
      </w:r>
      <w:r>
        <w:rPr>
          <w:rFonts w:ascii="Arial" w:hAnsi="Arial" w:cs="Arial"/>
          <w:szCs w:val="28"/>
        </w:rPr>
        <w:t>2</w:t>
      </w:r>
      <w:r>
        <w:rPr>
          <w:rFonts w:ascii="Arial" w:hAnsi="Arial" w:cs="Arial" w:hint="eastAsia"/>
          <w:szCs w:val="28"/>
        </w:rPr>
        <w:t>）仿單外使用之藥品費用請領可能構成詐欺健保局之藥品費用給付</w:t>
      </w:r>
    </w:p>
    <w:p w:rsidR="00DB326D" w:rsidRPr="00AC6B38" w:rsidRDefault="00DB326D" w:rsidP="00DB326D">
      <w:pPr>
        <w:widowControl/>
        <w:spacing w:before="100" w:beforeAutospacing="1" w:after="100" w:afterAutospacing="1"/>
      </w:pPr>
      <w:r>
        <w:rPr>
          <w:rFonts w:ascii="Arial" w:hAnsi="Arial" w:cs="Arial"/>
          <w:szCs w:val="28"/>
        </w:rPr>
        <w:t xml:space="preserve"> </w:t>
      </w:r>
      <w:r>
        <w:t xml:space="preserve">    </w:t>
      </w:r>
      <w:r>
        <w:rPr>
          <w:rFonts w:hint="eastAsia"/>
        </w:rPr>
        <w:t>依上開說明，藥品仿單外使用原則健保局是不予給付藥品費用，然而我國醫療實務上仿單外使用比例不低，已如前述，而據以請領健保給付亦所在多有，特別是基層診所，因為係以簡表方式論次定額，三天藥費為</w:t>
      </w:r>
      <w:r>
        <w:t>75</w:t>
      </w:r>
      <w:r>
        <w:rPr>
          <w:rFonts w:hint="eastAsia"/>
        </w:rPr>
        <w:t>元，非實報實銷，用藥內容亦不用上傳，因此診所若有藥品仿單外使用，亦無法查覺</w:t>
      </w:r>
      <w:r>
        <w:rPr>
          <w:rStyle w:val="ac"/>
          <w:rFonts w:ascii="Arial" w:hAnsi="Arial" w:cs="Arial"/>
          <w:szCs w:val="28"/>
        </w:rPr>
        <w:footnoteReference w:id="92"/>
      </w:r>
      <w:r>
        <w:rPr>
          <w:rFonts w:hint="eastAsia"/>
        </w:rPr>
        <w:t>，另外在有些被列入論病歷計酬</w:t>
      </w:r>
      <w:r w:rsidRPr="008A4781">
        <w:rPr>
          <w:rFonts w:hint="eastAsia"/>
          <w:szCs w:val="18"/>
        </w:rPr>
        <w:t>定額</w:t>
      </w:r>
      <w:r>
        <w:rPr>
          <w:rFonts w:hint="eastAsia"/>
          <w:szCs w:val="18"/>
        </w:rPr>
        <w:t>式</w:t>
      </w:r>
      <w:r w:rsidRPr="008A4781">
        <w:rPr>
          <w:rFonts w:hint="eastAsia"/>
          <w:szCs w:val="18"/>
        </w:rPr>
        <w:t>給付</w:t>
      </w:r>
      <w:r>
        <w:rPr>
          <w:rFonts w:hint="eastAsia"/>
          <w:szCs w:val="18"/>
        </w:rPr>
        <w:t>類型之疾病或醫療處置，由於案件較為單純，若</w:t>
      </w:r>
      <w:r w:rsidRPr="006A7B40">
        <w:rPr>
          <w:rFonts w:hint="eastAsia"/>
          <w:szCs w:val="18"/>
        </w:rPr>
        <w:t>申報費用符合所定之金額，往往審查上較為寬鬆，而成為使用較便宜藥品仿單外使用的溫床，例如自然生產屬於</w:t>
      </w:r>
      <w:r w:rsidRPr="006A7B40">
        <w:rPr>
          <w:rFonts w:hint="eastAsia"/>
          <w:color w:val="000000"/>
        </w:rPr>
        <w:t>論病例計酬點數核付之項目，醫療實務上往往使用</w:t>
      </w:r>
      <w:proofErr w:type="spellStart"/>
      <w:r w:rsidRPr="006A7B40">
        <w:rPr>
          <w:color w:val="000000"/>
        </w:rPr>
        <w:t>cytotec</w:t>
      </w:r>
      <w:proofErr w:type="spellEnd"/>
      <w:r w:rsidRPr="006A7B40">
        <w:rPr>
          <w:rFonts w:hint="eastAsia"/>
          <w:color w:val="000000"/>
        </w:rPr>
        <w:t>進行催生，而該藥</w:t>
      </w:r>
      <w:r w:rsidRPr="006A7B40">
        <w:rPr>
          <w:rFonts w:hint="eastAsia"/>
          <w:szCs w:val="27"/>
        </w:rPr>
        <w:t>健保給付價格每錠</w:t>
      </w:r>
      <w:r w:rsidRPr="006A7B40">
        <w:rPr>
          <w:szCs w:val="27"/>
        </w:rPr>
        <w:t>15</w:t>
      </w:r>
      <w:r w:rsidRPr="006A7B40">
        <w:rPr>
          <w:rFonts w:hint="eastAsia"/>
          <w:szCs w:val="27"/>
        </w:rPr>
        <w:t>元，而目前行政院衛生署唯一核准之前列腺素催生用藥「普洛舒定－益二型陰道錠（</w:t>
      </w:r>
      <w:r w:rsidRPr="006A7B40">
        <w:rPr>
          <w:color w:val="000000"/>
          <w:szCs w:val="20"/>
        </w:rPr>
        <w:t>PROSTIN E2 VAGINAL TAB</w:t>
      </w:r>
      <w:r w:rsidRPr="006A7B40">
        <w:rPr>
          <w:rFonts w:hint="eastAsia"/>
          <w:color w:val="000000"/>
          <w:szCs w:val="20"/>
        </w:rPr>
        <w:t>）</w:t>
      </w:r>
      <w:r w:rsidRPr="006A7B40">
        <w:rPr>
          <w:rFonts w:hint="eastAsia"/>
          <w:szCs w:val="27"/>
        </w:rPr>
        <w:t>」健保給付價格卻高達每錠</w:t>
      </w:r>
      <w:r w:rsidRPr="006A7B40">
        <w:rPr>
          <w:szCs w:val="27"/>
        </w:rPr>
        <w:t>364</w:t>
      </w:r>
      <w:r w:rsidRPr="006A7B40">
        <w:rPr>
          <w:rFonts w:hint="eastAsia"/>
          <w:szCs w:val="27"/>
        </w:rPr>
        <w:t>元</w:t>
      </w:r>
      <w:r w:rsidRPr="006A7B40">
        <w:rPr>
          <w:rFonts w:hint="eastAsia"/>
          <w:color w:val="000000"/>
          <w:szCs w:val="27"/>
        </w:rPr>
        <w:t>，</w:t>
      </w:r>
      <w:r w:rsidRPr="006A7B40">
        <w:rPr>
          <w:rFonts w:hint="eastAsia"/>
          <w:szCs w:val="27"/>
        </w:rPr>
        <w:t>醫院成本降低但申報費用卻相同，以此進行套利。但仿單核准適應症外用藥，在健保費用申報本不應該以簡表申報，亦不得出</w:t>
      </w:r>
      <w:r w:rsidRPr="006A7B40">
        <w:rPr>
          <w:rFonts w:hint="eastAsia"/>
          <w:szCs w:val="27"/>
        </w:rPr>
        <w:lastRenderedPageBreak/>
        <w:t>現於論病歷計酬之項目，醫師若仍提出申報請領健保給付，即可能構成詐領健保費之醫療詐欺。</w:t>
      </w:r>
    </w:p>
    <w:p w:rsidR="00DB326D" w:rsidRDefault="00DB326D" w:rsidP="00DB326D">
      <w:pPr>
        <w:widowControl/>
        <w:numPr>
          <w:ilvl w:val="0"/>
          <w:numId w:val="2"/>
        </w:numPr>
        <w:spacing w:before="100" w:beforeAutospacing="1" w:after="100" w:afterAutospacing="1"/>
        <w:rPr>
          <w:sz w:val="28"/>
          <w:szCs w:val="28"/>
        </w:rPr>
      </w:pPr>
      <w:r w:rsidRPr="00EF0A57">
        <w:rPr>
          <w:rFonts w:hint="eastAsia"/>
          <w:sz w:val="28"/>
          <w:szCs w:val="28"/>
        </w:rPr>
        <w:t>立法管制</w:t>
      </w:r>
      <w:r>
        <w:rPr>
          <w:rFonts w:hint="eastAsia"/>
          <w:sz w:val="28"/>
          <w:szCs w:val="28"/>
        </w:rPr>
        <w:t>及缺失</w:t>
      </w:r>
    </w:p>
    <w:p w:rsidR="00DB326D" w:rsidRPr="00BB2B22" w:rsidRDefault="00DB326D" w:rsidP="00DB326D">
      <w:pPr>
        <w:widowControl/>
        <w:numPr>
          <w:ilvl w:val="0"/>
          <w:numId w:val="37"/>
        </w:numPr>
        <w:spacing w:before="100" w:beforeAutospacing="1" w:after="100" w:afterAutospacing="1"/>
        <w:ind w:hanging="997"/>
      </w:pPr>
      <w:r w:rsidRPr="00BB2B22">
        <w:rPr>
          <w:rFonts w:hint="eastAsia"/>
        </w:rPr>
        <w:t>藥害救濟法</w:t>
      </w:r>
      <w:r>
        <w:rPr>
          <w:rFonts w:hint="eastAsia"/>
        </w:rPr>
        <w:t>及缺失</w:t>
      </w:r>
    </w:p>
    <w:p w:rsidR="00DB326D" w:rsidRDefault="00DB326D" w:rsidP="00DB326D">
      <w:pPr>
        <w:widowControl/>
        <w:spacing w:before="100" w:beforeAutospacing="1" w:after="100" w:afterAutospacing="1"/>
        <w:rPr>
          <w:rFonts w:ascii="新細明體"/>
        </w:rPr>
      </w:pPr>
      <w:r w:rsidRPr="00BB2B22">
        <w:rPr>
          <w:rFonts w:ascii="新細明體" w:hAnsi="新細明體"/>
        </w:rPr>
        <w:t xml:space="preserve"> 1</w:t>
      </w:r>
      <w:r w:rsidRPr="00BB2B22">
        <w:rPr>
          <w:rFonts w:ascii="新細明體" w:hAnsi="新細明體" w:hint="eastAsia"/>
        </w:rPr>
        <w:t>、藥害救濟法排仿單核准適應症外使用</w:t>
      </w:r>
    </w:p>
    <w:p w:rsidR="00DB326D" w:rsidRDefault="00DB326D" w:rsidP="00DB326D">
      <w:pPr>
        <w:widowControl/>
        <w:spacing w:before="100" w:beforeAutospacing="1" w:after="100" w:afterAutospacing="1"/>
      </w:pPr>
      <w:r>
        <w:rPr>
          <w:rFonts w:ascii="新細明體" w:hAnsi="新細明體"/>
        </w:rPr>
        <w:t xml:space="preserve">  </w:t>
      </w:r>
      <w:r>
        <w:t xml:space="preserve">  </w:t>
      </w:r>
      <w:r>
        <w:rPr>
          <w:rFonts w:hint="eastAsia"/>
        </w:rPr>
        <w:t>我國法律中直接與仿單外使用有相關規定僅有藥害救濟法，依該第</w:t>
      </w:r>
      <w:r>
        <w:t>3</w:t>
      </w:r>
      <w:r>
        <w:rPr>
          <w:rFonts w:hint="eastAsia"/>
        </w:rPr>
        <w:t>條第</w:t>
      </w:r>
      <w:r>
        <w:t>3</w:t>
      </w:r>
      <w:r>
        <w:rPr>
          <w:rFonts w:hint="eastAsia"/>
        </w:rPr>
        <w:t>款規定「正當使用：指依醫藥專業人員之指示或藥物標示而為藥物之使用」、第</w:t>
      </w:r>
      <w:r>
        <w:t>13</w:t>
      </w:r>
      <w:r>
        <w:rPr>
          <w:rFonts w:hint="eastAsia"/>
        </w:rPr>
        <w:t>條規定「有下列各款情事之一者，不得申請藥害救濟：八、未依藥物許可證所載之適應症或效能而為藥物之使用。」，由上開規定可以得知立法者認為仿單核准適應症外使用非屬正當用藥，故藥害受害人無法依該賠償機制獲得賠償。</w:t>
      </w:r>
      <w:r>
        <w:t xml:space="preserve"> </w:t>
      </w:r>
    </w:p>
    <w:p w:rsidR="00DB326D" w:rsidRDefault="00DB326D" w:rsidP="00DB326D">
      <w:pPr>
        <w:widowControl/>
        <w:spacing w:before="100" w:beforeAutospacing="1" w:after="100" w:afterAutospacing="1"/>
      </w:pPr>
      <w:r>
        <w:t xml:space="preserve"> 2</w:t>
      </w:r>
      <w:r>
        <w:rPr>
          <w:rFonts w:hint="eastAsia"/>
        </w:rPr>
        <w:t>、排除仿單核准適應外使用之藥害救濟之缺失</w:t>
      </w:r>
      <w:r>
        <w:t xml:space="preserve">                                         </w:t>
      </w:r>
      <w:r>
        <w:rPr>
          <w:rFonts w:hint="eastAsia"/>
        </w:rPr>
        <w:t>（</w:t>
      </w:r>
      <w:r>
        <w:t>1</w:t>
      </w:r>
      <w:r>
        <w:rPr>
          <w:rFonts w:hint="eastAsia"/>
        </w:rPr>
        <w:t>）符合衛生署函示要求之仿單核准適應外使用與藥害不予救濟制度之衝突</w:t>
      </w:r>
    </w:p>
    <w:p w:rsidR="00DB326D"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t xml:space="preserve">    </w:t>
      </w:r>
      <w:r>
        <w:rPr>
          <w:rFonts w:hint="eastAsia"/>
        </w:rPr>
        <w:t>依藥害救濟法第</w:t>
      </w:r>
      <w:r>
        <w:t>13</w:t>
      </w:r>
      <w:r>
        <w:rPr>
          <w:rFonts w:hint="eastAsia"/>
        </w:rPr>
        <w:t>條第</w:t>
      </w:r>
      <w:r>
        <w:t>8</w:t>
      </w:r>
      <w:r>
        <w:rPr>
          <w:rFonts w:hint="eastAsia"/>
        </w:rPr>
        <w:t>款之立法理由認為</w:t>
      </w:r>
      <w:r>
        <w:rPr>
          <w:rFonts w:hint="eastAsia"/>
          <w:color w:val="000000"/>
        </w:rPr>
        <w:t>仿單核准適應症外使用等同於非正當使用合法藥物，然而，依前揭衛生署函示內容只要符合</w:t>
      </w:r>
      <w:r>
        <w:rPr>
          <w:color w:val="000000"/>
        </w:rPr>
        <w:t>5</w:t>
      </w:r>
      <w:r>
        <w:rPr>
          <w:rFonts w:hint="eastAsia"/>
          <w:color w:val="000000"/>
        </w:rPr>
        <w:t>項條件是容許醫師未依</w:t>
      </w:r>
      <w:r w:rsidRPr="00FD6AAA">
        <w:rPr>
          <w:rFonts w:hint="eastAsia"/>
          <w:color w:val="000000"/>
        </w:rPr>
        <w:t>主管機關核准</w:t>
      </w:r>
      <w:r w:rsidRPr="00FD6AAA">
        <w:rPr>
          <w:rFonts w:ascii="細明體" w:eastAsia="細明體" w:hAnsi="細明體" w:cs="細明體" w:hint="eastAsia"/>
          <w:color w:val="000000"/>
          <w:kern w:val="0"/>
        </w:rPr>
        <w:t>之藥物許可證上所載適應症或效能而為藥物之使用</w:t>
      </w:r>
      <w:r>
        <w:rPr>
          <w:rFonts w:hint="eastAsia"/>
          <w:color w:val="000000"/>
        </w:rPr>
        <w:t>，特別是第一、二項條件即是要求要具備</w:t>
      </w:r>
      <w:r w:rsidRPr="008F0A5B">
        <w:rPr>
          <w:rFonts w:hint="eastAsia"/>
        </w:rPr>
        <w:t>正當理由</w:t>
      </w:r>
      <w:r>
        <w:rPr>
          <w:rFonts w:hint="eastAsia"/>
        </w:rPr>
        <w:t>（</w:t>
      </w:r>
      <w:r w:rsidRPr="008F0A5B">
        <w:rPr>
          <w:rFonts w:hint="eastAsia"/>
        </w:rPr>
        <w:t>基於治療疾病的需要</w:t>
      </w:r>
      <w:r>
        <w:rPr>
          <w:rFonts w:hint="eastAsia"/>
        </w:rPr>
        <w:t>）及合理使用（</w:t>
      </w:r>
      <w:r w:rsidRPr="008F0A5B">
        <w:rPr>
          <w:rFonts w:hint="eastAsia"/>
        </w:rPr>
        <w:t>符合醫學原理及臨床藥理</w:t>
      </w:r>
      <w:r>
        <w:rPr>
          <w:rFonts w:hint="eastAsia"/>
        </w:rPr>
        <w:t>），因此，衛生署既承認醫師</w:t>
      </w:r>
      <w:r>
        <w:rPr>
          <w:rFonts w:hint="eastAsia"/>
          <w:color w:val="000000"/>
        </w:rPr>
        <w:t>仿單核准適應症外使用藥物有可能存在正當合理使用藥物，但在藥害救濟法卻認為只要是仿單外使用即不具有正當使用藥物之可能性，二者對於仿單外使用之評價即產生衝突，而此評價衝突產生的結果，導致因使用藥物而受害之患者，既無法依藥害救濟途徑獲得損害填補，轉向用藥之醫師依一般醫療過失侵權責任或醫療契約債務不履行責任請求賠償時，又因符合衛生署函示之條件而被評價為正當合理使用藥物，並未違反醫師用藥之注意義務或未可歸責醫師之事由，而遭法院駁回請求。事實上，依藥害救濟法第</w:t>
      </w:r>
      <w:r>
        <w:rPr>
          <w:color w:val="000000"/>
        </w:rPr>
        <w:t>3</w:t>
      </w:r>
      <w:r>
        <w:rPr>
          <w:rFonts w:hint="eastAsia"/>
          <w:color w:val="000000"/>
        </w:rPr>
        <w:t>條第</w:t>
      </w:r>
      <w:r>
        <w:rPr>
          <w:color w:val="000000"/>
        </w:rPr>
        <w:t>3</w:t>
      </w:r>
      <w:r>
        <w:rPr>
          <w:rFonts w:hint="eastAsia"/>
          <w:color w:val="000000"/>
        </w:rPr>
        <w:t>款所謂正當使用是指「</w:t>
      </w:r>
      <w:r w:rsidRPr="00FC4720">
        <w:rPr>
          <w:rFonts w:ascii="新細明體" w:hAnsi="細明體" w:cs="細明體" w:hint="eastAsia"/>
          <w:kern w:val="0"/>
        </w:rPr>
        <w:t>依醫藥專業人員之指示或藥物標示而為藥物之使用</w:t>
      </w:r>
      <w:r>
        <w:rPr>
          <w:rFonts w:ascii="新細明體" w:hAnsi="細明體" w:cs="細明體" w:hint="eastAsia"/>
          <w:kern w:val="0"/>
        </w:rPr>
        <w:t>」，並非僅依藥物標示使用方為正當使用，依醫師指示而用藥亦應符合正當使用之定義，重點應該是醫師之指示是否有充足醫學上證據作為基礎，而正當化其未依仿單所建議適應症之用藥合理性，因此藥害救濟法本身各條文間就所謂藥物正當使用之定義即有扞格之處。</w:t>
      </w:r>
    </w:p>
    <w:p w:rsidR="00DB326D" w:rsidRDefault="00DB326D" w:rsidP="00DB326D">
      <w:pPr>
        <w:pStyle w:val="HTML"/>
        <w:tabs>
          <w:tab w:val="clear" w:pos="916"/>
          <w:tab w:val="clear" w:pos="1832"/>
          <w:tab w:val="left" w:pos="142"/>
          <w:tab w:val="left" w:pos="426"/>
        </w:tabs>
        <w:ind w:leftChars="-75" w:hangingChars="75" w:hanging="180"/>
      </w:pPr>
      <w:r>
        <w:rPr>
          <w:rFonts w:hint="eastAsia"/>
        </w:rPr>
        <w:t>（</w:t>
      </w:r>
      <w:r>
        <w:t>2</w:t>
      </w:r>
      <w:r>
        <w:rPr>
          <w:rFonts w:hint="eastAsia"/>
        </w:rPr>
        <w:t>）具有正當性之仿單外使用不予救濟與藥害救濟制度之風險分擔要求有所違</w:t>
      </w:r>
    </w:p>
    <w:p w:rsidR="00DB326D" w:rsidRDefault="00DB326D" w:rsidP="00DB326D">
      <w:pPr>
        <w:pStyle w:val="HTML"/>
        <w:tabs>
          <w:tab w:val="clear" w:pos="916"/>
          <w:tab w:val="clear" w:pos="1832"/>
          <w:tab w:val="left" w:pos="142"/>
          <w:tab w:val="left" w:pos="426"/>
        </w:tabs>
      </w:pPr>
      <w:r>
        <w:t xml:space="preserve">     </w:t>
      </w:r>
      <w:r>
        <w:rPr>
          <w:rFonts w:hint="eastAsia"/>
        </w:rPr>
        <w:t>背</w:t>
      </w:r>
    </w:p>
    <w:p w:rsidR="00DB326D" w:rsidRPr="00FC4720"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新細明體" w:hAnsi="細明體" w:cs="細明體"/>
          <w:kern w:val="0"/>
        </w:rPr>
      </w:pPr>
      <w:r>
        <w:rPr>
          <w:color w:val="000000"/>
        </w:rPr>
        <w:t xml:space="preserve">     </w:t>
      </w:r>
      <w:r>
        <w:rPr>
          <w:rFonts w:hint="eastAsia"/>
          <w:color w:val="000000"/>
        </w:rPr>
        <w:t>依</w:t>
      </w:r>
      <w:r w:rsidRPr="00FC4720">
        <w:rPr>
          <w:rFonts w:ascii="新細明體" w:hAnsi="細明體" w:cs="細明體" w:hint="eastAsia"/>
          <w:kern w:val="0"/>
        </w:rPr>
        <w:t>藥害救濟法</w:t>
      </w:r>
      <w:r>
        <w:rPr>
          <w:rFonts w:ascii="新細明體" w:hint="eastAsia"/>
        </w:rPr>
        <w:t>立法意旨</w:t>
      </w:r>
      <w:r w:rsidRPr="00FC4720">
        <w:rPr>
          <w:rFonts w:ascii="新細明體" w:hAnsi="細明體" w:cs="細明體" w:hint="eastAsia"/>
          <w:kern w:val="0"/>
        </w:rPr>
        <w:t>乃針對正當使用藥品，而因當時醫藥科技無法預見且預先防範所產生之藥害，透過藥害救濟機制，以保障消費者、醫療院所及製藥者之權益，復有鑑於因受害者之求償如僅有訴訟一途，基於藥害事故責任認定之</w:t>
      </w:r>
      <w:r w:rsidRPr="00FC4720">
        <w:rPr>
          <w:rFonts w:ascii="新細明體" w:hAnsi="細明體" w:cs="細明體" w:hint="eastAsia"/>
          <w:kern w:val="0"/>
        </w:rPr>
        <w:lastRenderedPageBreak/>
        <w:t>複雜性與困難性，對受害者不僅緩不濟急，對廠商、醫療院所之聲譽及損失亦難估計</w:t>
      </w:r>
      <w:r>
        <w:rPr>
          <w:rStyle w:val="ac"/>
          <w:rFonts w:ascii="新細明體" w:hAnsi="細明體" w:cs="細明體"/>
          <w:kern w:val="0"/>
        </w:rPr>
        <w:footnoteReference w:id="93"/>
      </w:r>
      <w:r>
        <w:rPr>
          <w:rFonts w:ascii="新細明體" w:hAnsi="細明體" w:cs="細明體" w:hint="eastAsia"/>
          <w:kern w:val="0"/>
        </w:rPr>
        <w:t>，藥害救濟基金來源是依藥害救濟法第</w:t>
      </w:r>
      <w:r>
        <w:rPr>
          <w:rFonts w:ascii="新細明體" w:hAnsi="細明體" w:cs="細明體"/>
          <w:kern w:val="0"/>
        </w:rPr>
        <w:t>5</w:t>
      </w:r>
      <w:r>
        <w:rPr>
          <w:rFonts w:ascii="新細明體" w:hAnsi="細明體" w:cs="細明體" w:hint="eastAsia"/>
          <w:kern w:val="0"/>
        </w:rPr>
        <w:t>條規定係由藥物製造業者及輸入業者繳納之徵收金、滯納金等，另同法第</w:t>
      </w:r>
      <w:r>
        <w:rPr>
          <w:rFonts w:ascii="新細明體" w:hAnsi="細明體" w:cs="細明體"/>
          <w:kern w:val="0"/>
        </w:rPr>
        <w:t>7</w:t>
      </w:r>
      <w:r>
        <w:rPr>
          <w:rFonts w:ascii="新細明體" w:hAnsi="細明體" w:cs="細明體" w:hint="eastAsia"/>
          <w:kern w:val="0"/>
        </w:rPr>
        <w:t>條第</w:t>
      </w:r>
      <w:r>
        <w:rPr>
          <w:rFonts w:ascii="新細明體" w:hAnsi="細明體" w:cs="細明體"/>
          <w:kern w:val="0"/>
        </w:rPr>
        <w:t>1</w:t>
      </w:r>
      <w:r>
        <w:rPr>
          <w:rFonts w:ascii="新細明體" w:hAnsi="細明體" w:cs="細明體" w:hint="eastAsia"/>
          <w:kern w:val="0"/>
        </w:rPr>
        <w:t>項規定徵收金額之計算係依藥物製造業者及輸入業者前一年度藥物銷售額一定比率為之，係國家為了達成對正當使用合法藥物而受害者能及時給予救濟之目的，具有特別公課之性質</w:t>
      </w:r>
      <w:r>
        <w:rPr>
          <w:rStyle w:val="ac"/>
          <w:rFonts w:ascii="新細明體" w:hAnsi="細明體" w:cs="細明體"/>
          <w:kern w:val="0"/>
        </w:rPr>
        <w:footnoteReference w:id="94"/>
      </w:r>
      <w:r>
        <w:rPr>
          <w:rFonts w:ascii="新細明體" w:hAnsi="細明體" w:cs="細明體" w:hint="eastAsia"/>
          <w:kern w:val="0"/>
        </w:rPr>
        <w:t>，藥商透過藥物銷售而獲取利益的同時，亦引進藥物可能無法預料之風險，特別是若藥商向醫師進行仿單外使用行銷，無論是透過醫學上文獻資訊之提供或者無醫學根據的虛假詐騙，藉以增加藥物在市場上的競爭力，醫師在依據藥商所提供藥物資訊，並以充足且具有研究品質的醫學上文獻作為基礎，為患者最大利益之治療需要考量，經向患者說明取得同意後為仿單核准適應症外使用，若不幸發生藥害事件，就藥害損害風險分配而言，因醫師之用藥行為符合衛生署之仿單外使用要求，已履行應盡之注意義務，自難將該損害交由醫師承擔，特別在我國藥品之價格並非能取決於醫師而是健保局的情況下，亦無法透過價格轉嫁藥物可能的風險；就患者而言，其依醫師指示使用已盡其注意，就藥物所生之危險實非其所能控制，就尋求損害合理分配之危險責任法理而言，相較於用藥之醫師與受有藥害之患者，藥品製造商是對於藥物危險最為瞭解，也是製造藥物可能之危險並從銷售藥物中獲得利益之一方，若在醫師、患者、藥商均無過失之情況，基於公平性考量認為患者所受藥害應獲得填補，則考慮課以負擔的對方應為藥品製造商，由政府向其徵收資金作為補償患者之藥害損失</w:t>
      </w:r>
      <w:r>
        <w:rPr>
          <w:rStyle w:val="ac"/>
          <w:rFonts w:ascii="新細明體" w:hAnsi="細明體" w:cs="細明體"/>
          <w:kern w:val="0"/>
        </w:rPr>
        <w:footnoteReference w:id="95"/>
      </w:r>
      <w:r>
        <w:rPr>
          <w:rFonts w:ascii="新細明體" w:hAnsi="細明體" w:cs="細明體" w:hint="eastAsia"/>
          <w:kern w:val="0"/>
        </w:rPr>
        <w:t>，然而藥害救濟法對於合理正當之仿單核准適應症外使用亦不予救濟之規定，完全推翻藥害救濟法原本制定危險責任分配之目的。</w:t>
      </w:r>
    </w:p>
    <w:p w:rsidR="00DB326D" w:rsidRDefault="00DB326D" w:rsidP="00DB326D">
      <w:pPr>
        <w:pStyle w:val="HTML"/>
        <w:tabs>
          <w:tab w:val="clear" w:pos="916"/>
          <w:tab w:val="left" w:pos="426"/>
        </w:tabs>
      </w:pPr>
      <w:r>
        <w:rPr>
          <w:rFonts w:hint="eastAsia"/>
        </w:rPr>
        <w:t>（</w:t>
      </w:r>
      <w:r>
        <w:t>3</w:t>
      </w:r>
      <w:r>
        <w:rPr>
          <w:rFonts w:hint="eastAsia"/>
        </w:rPr>
        <w:t>）藥害救濟准否繫於藥商就仿單變更的態度</w:t>
      </w:r>
    </w:p>
    <w:p w:rsidR="00DB326D" w:rsidRDefault="00DB326D" w:rsidP="00DB326D">
      <w:pPr>
        <w:pStyle w:val="HTML"/>
        <w:rPr>
          <w:rFonts w:ascii="Times New Roman" w:eastAsia="新細明體" w:hAnsi="Times New Roman"/>
        </w:rPr>
      </w:pPr>
      <w:r>
        <w:t xml:space="preserve">    </w:t>
      </w:r>
      <w:r>
        <w:rPr>
          <w:rFonts w:hint="eastAsia"/>
        </w:rPr>
        <w:t>依我國藥事法第</w:t>
      </w:r>
      <w:r>
        <w:t>39</w:t>
      </w:r>
      <w:r>
        <w:rPr>
          <w:rFonts w:hint="eastAsia"/>
        </w:rPr>
        <w:t>條第</w:t>
      </w:r>
      <w:r>
        <w:t>1</w:t>
      </w:r>
      <w:r>
        <w:rPr>
          <w:rFonts w:hint="eastAsia"/>
        </w:rPr>
        <w:t>項及同法第</w:t>
      </w:r>
      <w:r>
        <w:t>46</w:t>
      </w:r>
      <w:r>
        <w:rPr>
          <w:rFonts w:hint="eastAsia"/>
        </w:rPr>
        <w:t>條第</w:t>
      </w:r>
      <w:r>
        <w:t>1</w:t>
      </w:r>
      <w:r>
        <w:rPr>
          <w:rFonts w:hint="eastAsia"/>
        </w:rPr>
        <w:t>項仿單上記載之內容或變更均須經中央衛生主管機關查驗登記，另依藥品查驗登記審查準則第</w:t>
      </w:r>
      <w:r>
        <w:t>48</w:t>
      </w:r>
      <w:r>
        <w:rPr>
          <w:rFonts w:hint="eastAsia"/>
        </w:rPr>
        <w:t>條規定除少數無關藥品品質、用藥安全之事項藥商得自行變更仿單記載外，其餘例如適應症變更或用法用量變更均須依同法第</w:t>
      </w:r>
      <w:r>
        <w:t>54</w:t>
      </w:r>
      <w:r>
        <w:rPr>
          <w:rFonts w:hint="eastAsia"/>
        </w:rPr>
        <w:t>條、</w:t>
      </w:r>
      <w:r>
        <w:t>55</w:t>
      </w:r>
      <w:r>
        <w:rPr>
          <w:rFonts w:hint="eastAsia"/>
        </w:rPr>
        <w:t>條指出變更登記申請書、所宣稱之適應症、用法用量之臨床文獻二或三份等文件，即使依同法第</w:t>
      </w:r>
      <w:r>
        <w:t>54</w:t>
      </w:r>
      <w:r>
        <w:rPr>
          <w:rFonts w:hint="eastAsia"/>
        </w:rPr>
        <w:t>條第</w:t>
      </w:r>
      <w:r>
        <w:t>3</w:t>
      </w:r>
      <w:r>
        <w:rPr>
          <w:rFonts w:hint="eastAsia"/>
        </w:rPr>
        <w:t>項規定中央衛生主管機關公告之統一新適應症而自行修訂</w:t>
      </w:r>
      <w:r w:rsidRPr="00CA2027">
        <w:rPr>
          <w:rFonts w:ascii="新細明體" w:eastAsia="新細明體" w:hint="eastAsia"/>
        </w:rPr>
        <w:t>仿單者</w:t>
      </w:r>
      <w:r>
        <w:rPr>
          <w:rFonts w:ascii="新細明體" w:eastAsia="新細明體" w:hint="eastAsia"/>
        </w:rPr>
        <w:t>，仍須藥商提出變更登記申請書始可變更仿單，因此，仿單之記載經核准後，藥品製造商欲就仿單內容之變更，勢必再投入研發經費進行上市後研究取得臨床文獻始得為之，然而，藥物既已上市銷售，特別是對於藥品專利延長或銷售量沒有影響時，藥商寧可將研發經費用於未上市藥物之開發，而不願再耗費成本於「老藥」之上。例如，衛生署於藥害救濟案件審查時發現成分為</w:t>
      </w:r>
      <w:r w:rsidRPr="0009732A">
        <w:rPr>
          <w:rFonts w:ascii="Times New Roman" w:eastAsia="新細明體" w:hAnsi="Times New Roman"/>
        </w:rPr>
        <w:t>KETOCONAZOLE</w:t>
      </w:r>
      <w:r>
        <w:rPr>
          <w:rFonts w:ascii="標楷體" w:eastAsia="標楷體" w:hAnsi="標楷體" w:hint="eastAsia"/>
        </w:rPr>
        <w:t>（</w:t>
      </w:r>
      <w:r>
        <w:rPr>
          <w:rFonts w:ascii="Arial" w:hAnsi="Arial" w:cs="Arial" w:hint="eastAsia"/>
          <w:color w:val="000000"/>
        </w:rPr>
        <w:t>克康那唑，中文藥名為克托樂），核准適應症為「</w:t>
      </w:r>
      <w:r w:rsidRPr="000D7C4D">
        <w:rPr>
          <w:rFonts w:ascii="Times New Roman" w:eastAsia="新細明體" w:hAnsi="Arial" w:cs="Arial" w:hint="eastAsia"/>
        </w:rPr>
        <w:t>髮癬、</w:t>
      </w:r>
      <w:proofErr w:type="spellStart"/>
      <w:r w:rsidRPr="000D7C4D">
        <w:rPr>
          <w:rFonts w:ascii="Times New Roman" w:eastAsia="新細明體" w:hAnsi="Times New Roman" w:cs="Arial"/>
        </w:rPr>
        <w:t>Tinea</w:t>
      </w:r>
      <w:proofErr w:type="spellEnd"/>
      <w:r w:rsidRPr="000D7C4D">
        <w:rPr>
          <w:rFonts w:ascii="Times New Roman" w:eastAsia="新細明體" w:hAnsi="Times New Roman" w:cs="Arial"/>
        </w:rPr>
        <w:t xml:space="preserve"> </w:t>
      </w:r>
      <w:proofErr w:type="spellStart"/>
      <w:r w:rsidRPr="000D7C4D">
        <w:rPr>
          <w:rFonts w:ascii="Times New Roman" w:eastAsia="新細明體" w:hAnsi="Times New Roman" w:cs="Arial"/>
        </w:rPr>
        <w:t>Capitis</w:t>
      </w:r>
      <w:proofErr w:type="spellEnd"/>
      <w:r w:rsidRPr="000D7C4D">
        <w:rPr>
          <w:rFonts w:ascii="Times New Roman" w:eastAsia="新細明體" w:hAnsi="Arial" w:cs="Arial" w:hint="eastAsia"/>
        </w:rPr>
        <w:t>、汗斑</w:t>
      </w:r>
      <w:r>
        <w:rPr>
          <w:rFonts w:ascii="Arial" w:hAnsi="Arial" w:cs="Arial" w:hint="eastAsia"/>
          <w:color w:val="000000"/>
        </w:rPr>
        <w:t>」，但醫師用於治療念珠菌感染，而於</w:t>
      </w:r>
      <w:r>
        <w:rPr>
          <w:rFonts w:ascii="Arial" w:hAnsi="Arial" w:cs="Arial"/>
          <w:color w:val="000000"/>
        </w:rPr>
        <w:t>98</w:t>
      </w:r>
      <w:r>
        <w:rPr>
          <w:rFonts w:ascii="Arial" w:hAnsi="Arial" w:cs="Arial" w:hint="eastAsia"/>
          <w:color w:val="000000"/>
        </w:rPr>
        <w:t>年</w:t>
      </w:r>
      <w:r>
        <w:rPr>
          <w:rFonts w:ascii="Arial" w:hAnsi="Arial" w:cs="Arial"/>
          <w:color w:val="000000"/>
        </w:rPr>
        <w:t>5</w:t>
      </w:r>
      <w:r>
        <w:rPr>
          <w:rFonts w:ascii="Arial" w:hAnsi="Arial" w:cs="Arial" w:hint="eastAsia"/>
          <w:color w:val="000000"/>
        </w:rPr>
        <w:t>月</w:t>
      </w:r>
      <w:r>
        <w:rPr>
          <w:rFonts w:ascii="Arial" w:hAnsi="Arial" w:cs="Arial"/>
          <w:color w:val="000000"/>
        </w:rPr>
        <w:t>26</w:t>
      </w:r>
      <w:r>
        <w:rPr>
          <w:rFonts w:ascii="Arial" w:hAnsi="Arial" w:cs="Arial" w:hint="eastAsia"/>
          <w:color w:val="000000"/>
        </w:rPr>
        <w:t>日發函給與製藥有關等商業公會要求藥商儘速</w:t>
      </w:r>
      <w:r>
        <w:rPr>
          <w:rFonts w:ascii="Arial" w:hAnsi="Arial" w:cs="Arial" w:hint="eastAsia"/>
          <w:color w:val="000000"/>
        </w:rPr>
        <w:lastRenderedPageBreak/>
        <w:t>辦理仿單修正，嗣後該藥用於治療念珠菌感染為仿單標示外使用</w:t>
      </w:r>
      <w:r>
        <w:rPr>
          <w:rStyle w:val="ac"/>
          <w:rFonts w:ascii="Arial" w:hAnsi="Arial" w:cs="Arial"/>
          <w:color w:val="000000"/>
        </w:rPr>
        <w:footnoteReference w:id="96"/>
      </w:r>
      <w:r>
        <w:rPr>
          <w:rFonts w:ascii="Arial" w:hAnsi="Arial" w:cs="Arial" w:hint="eastAsia"/>
          <w:color w:val="000000"/>
        </w:rPr>
        <w:t>。然而，時迄今日，以</w:t>
      </w:r>
      <w:r w:rsidRPr="0009732A">
        <w:rPr>
          <w:rFonts w:ascii="Times New Roman" w:eastAsia="新細明體" w:hAnsi="Times New Roman"/>
        </w:rPr>
        <w:t>KETOCONAZOLE</w:t>
      </w:r>
      <w:r>
        <w:rPr>
          <w:rFonts w:ascii="Times New Roman" w:eastAsia="新細明體" w:hAnsi="Times New Roman" w:hint="eastAsia"/>
        </w:rPr>
        <w:t>為主要成分的相關藥物扣除已註銷藥品供計</w:t>
      </w:r>
      <w:r>
        <w:rPr>
          <w:rFonts w:ascii="Times New Roman" w:eastAsia="新細明體" w:hAnsi="Times New Roman"/>
        </w:rPr>
        <w:t>103</w:t>
      </w:r>
      <w:r>
        <w:rPr>
          <w:rFonts w:ascii="Times New Roman" w:eastAsia="新細明體" w:hAnsi="Times New Roman" w:hint="eastAsia"/>
        </w:rPr>
        <w:t>種，並無任何一家藥商有將仿單增列治療念珠菌感染之適應症</w:t>
      </w:r>
      <w:r>
        <w:rPr>
          <w:rStyle w:val="ac"/>
          <w:rFonts w:ascii="Times New Roman" w:eastAsia="新細明體" w:hAnsi="Times New Roman" w:cs="細明體"/>
        </w:rPr>
        <w:footnoteReference w:id="97"/>
      </w:r>
      <w:r>
        <w:rPr>
          <w:rFonts w:ascii="Times New Roman" w:eastAsia="新細明體" w:hAnsi="Times New Roman" w:hint="eastAsia"/>
        </w:rPr>
        <w:t>，足認藥商對於仿單變更態度之消極，但藥害救濟法</w:t>
      </w:r>
      <w:r>
        <w:rPr>
          <w:rFonts w:hint="eastAsia"/>
        </w:rPr>
        <w:t>第</w:t>
      </w:r>
      <w:r>
        <w:t>13</w:t>
      </w:r>
      <w:r>
        <w:rPr>
          <w:rFonts w:hint="eastAsia"/>
        </w:rPr>
        <w:t>條第</w:t>
      </w:r>
      <w:r>
        <w:t>8</w:t>
      </w:r>
      <w:r>
        <w:rPr>
          <w:rFonts w:hint="eastAsia"/>
        </w:rPr>
        <w:t>款</w:t>
      </w:r>
      <w:r>
        <w:rPr>
          <w:rFonts w:ascii="Times New Roman" w:eastAsia="新細明體" w:hAnsi="Times New Roman" w:hint="eastAsia"/>
        </w:rPr>
        <w:t>卻以藥商消極未變更仿單上之適應症，認定醫師未正當用藥而不予藥害救濟，無疑是將藥商對於仿單變更消極不作為之不利益加諸於發生藥害之患者，實非合理。</w:t>
      </w:r>
      <w:r>
        <w:rPr>
          <w:rFonts w:hint="eastAsia"/>
        </w:rPr>
        <w:t>。</w:t>
      </w:r>
    </w:p>
    <w:p w:rsidR="00DB326D" w:rsidRDefault="00DB326D" w:rsidP="00DB326D">
      <w:pPr>
        <w:pStyle w:val="HTML"/>
        <w:rPr>
          <w:rFonts w:ascii="Times New Roman" w:eastAsia="新細明體" w:hAnsi="Times New Roman"/>
          <w:sz w:val="28"/>
        </w:rPr>
      </w:pPr>
      <w:r>
        <w:rPr>
          <w:rFonts w:ascii="Times New Roman" w:eastAsia="新細明體" w:hAnsi="Times New Roman" w:hint="eastAsia"/>
          <w:sz w:val="28"/>
        </w:rPr>
        <w:t>三、</w:t>
      </w:r>
      <w:r w:rsidRPr="0018491C">
        <w:rPr>
          <w:rFonts w:ascii="Times New Roman" w:eastAsia="新細明體" w:hAnsi="Times New Roman" w:hint="eastAsia"/>
          <w:sz w:val="28"/>
        </w:rPr>
        <w:t>司法管制</w:t>
      </w:r>
      <w:r>
        <w:rPr>
          <w:rFonts w:ascii="Times New Roman" w:eastAsia="新細明體" w:hAnsi="Times New Roman" w:hint="eastAsia"/>
          <w:sz w:val="28"/>
        </w:rPr>
        <w:t>及缺失</w:t>
      </w:r>
    </w:p>
    <w:p w:rsidR="00DB326D" w:rsidRDefault="00DB326D" w:rsidP="00DB326D">
      <w:pPr>
        <w:pStyle w:val="HTML"/>
        <w:ind w:leftChars="-177" w:hangingChars="177" w:hanging="425"/>
      </w:pPr>
      <w:r>
        <w:rPr>
          <w:rFonts w:ascii="新細明體" w:eastAsia="新細明體"/>
        </w:rPr>
        <w:t xml:space="preserve">  </w:t>
      </w:r>
      <w:r w:rsidRPr="00392A11">
        <w:rPr>
          <w:rFonts w:ascii="新細明體" w:eastAsia="新細明體" w:hint="eastAsia"/>
        </w:rPr>
        <w:t>（一）</w:t>
      </w:r>
      <w:r w:rsidRPr="00392A11">
        <w:rPr>
          <w:rFonts w:hint="eastAsia"/>
        </w:rPr>
        <w:t>法院最嚴格的管制─藥物仿單核准適應症外使用等同於實驗性治療應負擔</w:t>
      </w:r>
    </w:p>
    <w:p w:rsidR="00DB326D" w:rsidRDefault="00DB326D" w:rsidP="00DB326D">
      <w:pPr>
        <w:pStyle w:val="HTML"/>
        <w:ind w:left="-118"/>
      </w:pPr>
      <w:r>
        <w:t xml:space="preserve">     </w:t>
      </w:r>
      <w:r w:rsidRPr="00392A11">
        <w:rPr>
          <w:rFonts w:hint="eastAsia"/>
        </w:rPr>
        <w:t>說明義務，違反說明義務即有過失，醫師應就無醫療過失負擔舉證責任</w:t>
      </w:r>
      <w:r>
        <w:rPr>
          <w:rStyle w:val="ac"/>
        </w:rPr>
        <w:footnoteReference w:id="98"/>
      </w:r>
    </w:p>
    <w:p w:rsidR="00DB326D" w:rsidRPr="005A1A34" w:rsidRDefault="00DB326D" w:rsidP="00DB326D">
      <w:pPr>
        <w:pStyle w:val="HTML"/>
        <w:ind w:firstLineChars="49" w:firstLine="118"/>
        <w:rPr>
          <w:rFonts w:cs="標楷體"/>
          <w:szCs w:val="28"/>
          <w:lang w:val="zh-TW"/>
        </w:rPr>
      </w:pPr>
      <w:r>
        <w:rPr>
          <w:szCs w:val="28"/>
        </w:rPr>
        <w:t xml:space="preserve">   </w:t>
      </w:r>
      <w:r>
        <w:rPr>
          <w:rFonts w:hint="eastAsia"/>
          <w:szCs w:val="28"/>
        </w:rPr>
        <w:t>上開仿單外使用案例中我國法院最嚴格管制的看法是直接將仿單外使用等</w:t>
      </w:r>
      <w:r>
        <w:rPr>
          <w:szCs w:val="28"/>
        </w:rPr>
        <w:t xml:space="preserve"> </w:t>
      </w:r>
      <w:r>
        <w:rPr>
          <w:rFonts w:hint="eastAsia"/>
          <w:szCs w:val="28"/>
        </w:rPr>
        <w:t>同於實驗性治療，該法院認為</w:t>
      </w:r>
      <w:proofErr w:type="spellStart"/>
      <w:r>
        <w:rPr>
          <w:szCs w:val="28"/>
        </w:rPr>
        <w:t>Cytotec</w:t>
      </w:r>
      <w:proofErr w:type="spellEnd"/>
      <w:r>
        <w:rPr>
          <w:rFonts w:hint="eastAsia"/>
          <w:szCs w:val="28"/>
        </w:rPr>
        <w:t>世界各國均未核准該藥用於催生用途，被告未能舉證係因藥商未申請適應症所致，並從證人證述該藥非第一線用藥，且與署核的藥物將近</w:t>
      </w:r>
      <w:r>
        <w:rPr>
          <w:szCs w:val="28"/>
        </w:rPr>
        <w:t>24</w:t>
      </w:r>
      <w:r>
        <w:rPr>
          <w:rFonts w:hint="eastAsia"/>
          <w:szCs w:val="28"/>
        </w:rPr>
        <w:t>倍價差，在安全性上亦有所差別，因此認為系爭藥物未經衛生署核准是有可能因為安全性的考量，該用藥係實驗性治療之性質。再從醫療契約委任之性質，依民法第</w:t>
      </w:r>
      <w:r>
        <w:rPr>
          <w:szCs w:val="28"/>
        </w:rPr>
        <w:t>540</w:t>
      </w:r>
      <w:r>
        <w:rPr>
          <w:rFonts w:hint="eastAsia"/>
          <w:szCs w:val="28"/>
        </w:rPr>
        <w:t>條規定對於實驗性治療應履行說明義務，說明之內容應包括實驗性治療之性質與替代性治療之方式，醫師疏未說明而有過失；又法院認為依民事訴訟法</w:t>
      </w:r>
      <w:r>
        <w:rPr>
          <w:szCs w:val="28"/>
        </w:rPr>
        <w:t>277</w:t>
      </w:r>
      <w:r>
        <w:rPr>
          <w:rFonts w:hint="eastAsia"/>
          <w:szCs w:val="28"/>
        </w:rPr>
        <w:t>條但書醫師應就無醫療過失負擔舉證之責，醫師無法證明損害發生與用藥可能產生之副作用無關，醫師應就原告所受之損害負擔侵權行為責任，醫師所屬之醫院應負僱用人之連帶賠償之責。</w:t>
      </w:r>
      <w:r w:rsidRPr="005A1A34">
        <w:rPr>
          <w:rFonts w:cs="標楷體"/>
          <w:szCs w:val="28"/>
          <w:lang w:val="zh-TW"/>
        </w:rPr>
        <w:t xml:space="preserve"> </w:t>
      </w:r>
    </w:p>
    <w:p w:rsidR="00DB326D" w:rsidRDefault="00DB326D" w:rsidP="00DB326D">
      <w:pPr>
        <w:autoSpaceDE w:val="0"/>
        <w:autoSpaceDN w:val="0"/>
        <w:adjustRightInd w:val="0"/>
        <w:spacing w:line="240" w:lineRule="atLeast"/>
        <w:ind w:leftChars="-60" w:hangingChars="60" w:hanging="144"/>
        <w:rPr>
          <w:szCs w:val="28"/>
        </w:rPr>
      </w:pPr>
      <w:r>
        <w:rPr>
          <w:rFonts w:hint="eastAsia"/>
          <w:szCs w:val="28"/>
        </w:rPr>
        <w:t>（二）法院次嚴格的管制─藥物仿單核准適應症外使用應適用告知後同意原則</w:t>
      </w:r>
    </w:p>
    <w:p w:rsidR="00DB326D" w:rsidRPr="003B3A2A" w:rsidRDefault="00DB326D" w:rsidP="00DB326D">
      <w:pPr>
        <w:autoSpaceDE w:val="0"/>
        <w:autoSpaceDN w:val="0"/>
        <w:adjustRightInd w:val="0"/>
        <w:spacing w:line="240" w:lineRule="atLeast"/>
        <w:ind w:left="2"/>
        <w:rPr>
          <w:szCs w:val="28"/>
        </w:rPr>
      </w:pPr>
      <w:r>
        <w:rPr>
          <w:szCs w:val="28"/>
        </w:rPr>
        <w:t xml:space="preserve">    </w:t>
      </w:r>
      <w:r>
        <w:rPr>
          <w:rFonts w:hint="eastAsia"/>
          <w:szCs w:val="28"/>
        </w:rPr>
        <w:t>法院雖認為仿單核准適應症外使用應適用告知後同意原則，但從說明義務的內容範圍不同尚可區分成二類型：</w:t>
      </w:r>
    </w:p>
    <w:p w:rsidR="00DB326D" w:rsidRPr="00F4071D" w:rsidRDefault="00DB326D" w:rsidP="00DB326D">
      <w:pPr>
        <w:autoSpaceDE w:val="0"/>
        <w:autoSpaceDN w:val="0"/>
        <w:adjustRightInd w:val="0"/>
        <w:spacing w:line="240" w:lineRule="atLeast"/>
        <w:ind w:leftChars="-60" w:hangingChars="60" w:hanging="144"/>
        <w:rPr>
          <w:szCs w:val="28"/>
        </w:rPr>
      </w:pPr>
      <w:r>
        <w:rPr>
          <w:szCs w:val="28"/>
        </w:rPr>
        <w:t xml:space="preserve">   1</w:t>
      </w:r>
      <w:r>
        <w:rPr>
          <w:rFonts w:hint="eastAsia"/>
          <w:szCs w:val="28"/>
        </w:rPr>
        <w:t>、一般用藥安全加上替代性藥物選擇之說明義務</w:t>
      </w:r>
      <w:r>
        <w:rPr>
          <w:rStyle w:val="ac"/>
          <w:szCs w:val="28"/>
        </w:rPr>
        <w:footnoteReference w:id="99"/>
      </w:r>
    </w:p>
    <w:p w:rsidR="00DB326D" w:rsidRPr="00C01EB8"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xml:space="preserve">     </w:t>
      </w:r>
      <w:r>
        <w:rPr>
          <w:rFonts w:hint="eastAsia"/>
          <w:szCs w:val="28"/>
        </w:rPr>
        <w:t>法院認為在仿單外核准適應症外使用之用藥，除有</w:t>
      </w:r>
      <w:r w:rsidRPr="00937755">
        <w:rPr>
          <w:rFonts w:ascii="細明體" w:eastAsia="細明體" w:hAnsi="細明體" w:cs="細明體" w:hint="eastAsia"/>
          <w:kern w:val="0"/>
        </w:rPr>
        <w:t>免除告知</w:t>
      </w:r>
      <w:r>
        <w:rPr>
          <w:rFonts w:ascii="細明體" w:eastAsia="細明體" w:hAnsi="細明體" w:cs="細明體" w:hint="eastAsia"/>
          <w:kern w:val="0"/>
        </w:rPr>
        <w:t>，不需告知之</w:t>
      </w:r>
      <w:r w:rsidRPr="00937755">
        <w:rPr>
          <w:rFonts w:ascii="細明體" w:eastAsia="細明體" w:hAnsi="細明體" w:cs="細明體" w:hint="eastAsia"/>
          <w:kern w:val="0"/>
        </w:rPr>
        <w:t>情</w:t>
      </w:r>
      <w:r>
        <w:rPr>
          <w:rFonts w:ascii="細明體" w:eastAsia="細明體" w:hAnsi="細明體" w:cs="細明體" w:hint="eastAsia"/>
          <w:kern w:val="0"/>
        </w:rPr>
        <w:t>形外，</w:t>
      </w:r>
      <w:r>
        <w:rPr>
          <w:rFonts w:hint="eastAsia"/>
          <w:szCs w:val="28"/>
        </w:rPr>
        <w:t>依據醫療法第</w:t>
      </w:r>
      <w:r>
        <w:rPr>
          <w:szCs w:val="28"/>
        </w:rPr>
        <w:t>81</w:t>
      </w:r>
      <w:r>
        <w:rPr>
          <w:rFonts w:hint="eastAsia"/>
          <w:szCs w:val="28"/>
        </w:rPr>
        <w:t>條（舊法第</w:t>
      </w:r>
      <w:r>
        <w:rPr>
          <w:szCs w:val="28"/>
        </w:rPr>
        <w:t>58</w:t>
      </w:r>
      <w:r>
        <w:rPr>
          <w:rFonts w:hint="eastAsia"/>
          <w:szCs w:val="28"/>
        </w:rPr>
        <w:t>條）及醫師法</w:t>
      </w:r>
      <w:r>
        <w:rPr>
          <w:szCs w:val="28"/>
        </w:rPr>
        <w:t>12</w:t>
      </w:r>
      <w:r>
        <w:rPr>
          <w:rFonts w:hint="eastAsia"/>
          <w:szCs w:val="28"/>
        </w:rPr>
        <w:t>條之</w:t>
      </w:r>
      <w:r>
        <w:rPr>
          <w:szCs w:val="28"/>
        </w:rPr>
        <w:t>1</w:t>
      </w:r>
      <w:r>
        <w:rPr>
          <w:rFonts w:hint="eastAsia"/>
          <w:szCs w:val="28"/>
        </w:rPr>
        <w:t>規定課以</w:t>
      </w:r>
      <w:r w:rsidRPr="00937755">
        <w:rPr>
          <w:rFonts w:ascii="細明體" w:eastAsia="細明體" w:hAnsi="細明體" w:cs="細明體" w:hint="eastAsia"/>
          <w:kern w:val="0"/>
        </w:rPr>
        <w:t>醫療機構與醫師之告知說明義務。上開所謂告知說明義務內容包括患者病症之輕重、痊癒之可能性、所決定醫療行為之性質、理由、內容、預期治療效果、醫療方式、難易度、對病患身體侵襲範圍及危險程度等項，並應以醫療上通用方式加以說明，俾病患充分了解該醫療行為對身體可能產生之侵害，加以斟酌，用以決定是否同意接受該項醫療之實施。</w:t>
      </w:r>
      <w:r>
        <w:rPr>
          <w:rFonts w:ascii="細明體" w:eastAsia="細明體" w:hAnsi="細明體" w:cs="細明體" w:hint="eastAsia"/>
          <w:kern w:val="0"/>
        </w:rPr>
        <w:t>因此醫療機構及醫師</w:t>
      </w:r>
      <w:r w:rsidRPr="00937755">
        <w:rPr>
          <w:rFonts w:ascii="細明體" w:eastAsia="細明體" w:hAnsi="細明體" w:cs="細明體" w:hint="eastAsia"/>
          <w:kern w:val="0"/>
        </w:rPr>
        <w:t>於使用非核准適應症藥物前，</w:t>
      </w:r>
      <w:r>
        <w:rPr>
          <w:rFonts w:ascii="細明體" w:eastAsia="細明體" w:hAnsi="細明體" w:cs="細明體" w:hint="eastAsia"/>
          <w:kern w:val="0"/>
        </w:rPr>
        <w:t>應</w:t>
      </w:r>
      <w:r w:rsidRPr="00937755">
        <w:rPr>
          <w:rFonts w:ascii="細明體" w:eastAsia="細明體" w:hAnsi="細明體" w:cs="細明體" w:hint="eastAsia"/>
          <w:kern w:val="0"/>
        </w:rPr>
        <w:t>依一般醫療常規特別注意該藥物使用之必要性，並充分向病患說明使用之風險及有無其他用藥之選擇等項</w:t>
      </w:r>
      <w:r>
        <w:rPr>
          <w:rStyle w:val="ac"/>
          <w:szCs w:val="28"/>
        </w:rPr>
        <w:footnoteReference w:id="100"/>
      </w:r>
      <w:r>
        <w:rPr>
          <w:rFonts w:ascii="細明體" w:eastAsia="細明體" w:hAnsi="細明體" w:cs="細明體" w:hint="eastAsia"/>
          <w:kern w:val="0"/>
        </w:rPr>
        <w:t>，故此見解認為仿單核准適應症外用藥，</w:t>
      </w:r>
      <w:r w:rsidRPr="00937755">
        <w:rPr>
          <w:rFonts w:ascii="細明體" w:eastAsia="細明體" w:hAnsi="細明體" w:cs="細明體" w:hint="eastAsia"/>
          <w:kern w:val="0"/>
        </w:rPr>
        <w:t>醫師就可能嚴</w:t>
      </w:r>
      <w:r w:rsidRPr="00937755">
        <w:rPr>
          <w:rFonts w:ascii="細明體" w:eastAsia="細明體" w:hAnsi="細明體" w:cs="細明體" w:hint="eastAsia"/>
          <w:kern w:val="0"/>
        </w:rPr>
        <w:lastRenderedPageBreak/>
        <w:t>重引發副作用之藥物，</w:t>
      </w:r>
      <w:r>
        <w:rPr>
          <w:rFonts w:ascii="細明體" w:eastAsia="細明體" w:hAnsi="細明體" w:cs="細明體" w:hint="eastAsia"/>
          <w:kern w:val="0"/>
        </w:rPr>
        <w:t>應</w:t>
      </w:r>
      <w:r w:rsidRPr="00937755">
        <w:rPr>
          <w:rFonts w:ascii="細明體" w:eastAsia="細明體" w:hAnsi="細明體" w:cs="細明體" w:hint="eastAsia"/>
          <w:kern w:val="0"/>
        </w:rPr>
        <w:t>注意使用該藥物之必要性，並將其利、弊得失及可能引致風險先行告知病患，使評估有無其他選擇之可能性，</w:t>
      </w:r>
      <w:r>
        <w:rPr>
          <w:rFonts w:ascii="細明體" w:eastAsia="細明體" w:hAnsi="細明體" w:cs="細明體" w:hint="eastAsia"/>
          <w:kern w:val="0"/>
        </w:rPr>
        <w:t>故除一般用藥之安全說明義務外，尚包括有無替代性藥物選擇之說明，並且在用藥說明後應取得患者同意。違反說明義務之結果</w:t>
      </w:r>
      <w:r w:rsidRPr="00937755">
        <w:rPr>
          <w:rFonts w:ascii="細明體" w:eastAsia="細明體" w:hAnsi="細明體" w:cs="細明體" w:hint="eastAsia"/>
          <w:kern w:val="0"/>
        </w:rPr>
        <w:t>因而致病患發生死亡之結果者，</w:t>
      </w:r>
      <w:r>
        <w:rPr>
          <w:rFonts w:ascii="細明體" w:eastAsia="細明體" w:hAnsi="細明體" w:cs="細明體" w:hint="eastAsia"/>
          <w:kern w:val="0"/>
        </w:rPr>
        <w:t>即認醫師未</w:t>
      </w:r>
      <w:r w:rsidRPr="00937755">
        <w:rPr>
          <w:rFonts w:ascii="細明體" w:eastAsia="細明體" w:hAnsi="細明體" w:cs="細明體" w:hint="eastAsia"/>
          <w:kern w:val="0"/>
        </w:rPr>
        <w:t>盡注意義務而</w:t>
      </w:r>
      <w:r>
        <w:rPr>
          <w:rFonts w:ascii="細明體" w:eastAsia="細明體" w:hAnsi="細明體" w:cs="細明體" w:hint="eastAsia"/>
          <w:kern w:val="0"/>
        </w:rPr>
        <w:t>有過失。</w:t>
      </w:r>
      <w:r>
        <w:rPr>
          <w:szCs w:val="28"/>
        </w:rPr>
        <w:t xml:space="preserve"> </w:t>
      </w:r>
    </w:p>
    <w:p w:rsidR="00DB326D" w:rsidRPr="00F4071D" w:rsidRDefault="00DB326D" w:rsidP="00DB326D">
      <w:pPr>
        <w:autoSpaceDE w:val="0"/>
        <w:autoSpaceDN w:val="0"/>
        <w:adjustRightInd w:val="0"/>
        <w:spacing w:line="240" w:lineRule="atLeast"/>
        <w:ind w:left="2"/>
        <w:rPr>
          <w:szCs w:val="28"/>
        </w:rPr>
      </w:pPr>
      <w:r>
        <w:rPr>
          <w:szCs w:val="28"/>
        </w:rPr>
        <w:t xml:space="preserve">  2</w:t>
      </w:r>
      <w:r>
        <w:rPr>
          <w:rFonts w:hint="eastAsia"/>
          <w:szCs w:val="28"/>
        </w:rPr>
        <w:t>、一般用藥安全之說明義務</w:t>
      </w:r>
      <w:r>
        <w:rPr>
          <w:rStyle w:val="ac"/>
          <w:szCs w:val="28"/>
        </w:rPr>
        <w:footnoteReference w:id="101"/>
      </w:r>
    </w:p>
    <w:p w:rsidR="00DB326D"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 xml:space="preserve">    </w:t>
      </w:r>
      <w:r>
        <w:rPr>
          <w:rFonts w:ascii="細明體" w:eastAsia="細明體" w:hAnsi="細明體" w:cs="細明體" w:hint="eastAsia"/>
          <w:kern w:val="0"/>
        </w:rPr>
        <w:t>法院認為仿單核准適應症外用藥，依據醫師法第</w:t>
      </w:r>
      <w:r>
        <w:rPr>
          <w:rFonts w:ascii="細明體" w:eastAsia="細明體" w:hAnsi="細明體" w:cs="細明體"/>
          <w:kern w:val="0"/>
        </w:rPr>
        <w:t>12</w:t>
      </w:r>
      <w:r>
        <w:rPr>
          <w:rFonts w:ascii="細明體" w:eastAsia="細明體" w:hAnsi="細明體" w:cs="細明體" w:hint="eastAsia"/>
          <w:kern w:val="0"/>
        </w:rPr>
        <w:t>條之</w:t>
      </w:r>
      <w:r>
        <w:rPr>
          <w:rFonts w:ascii="細明體" w:eastAsia="細明體" w:hAnsi="細明體" w:cs="細明體"/>
          <w:kern w:val="0"/>
        </w:rPr>
        <w:t>1</w:t>
      </w:r>
      <w:r>
        <w:rPr>
          <w:rFonts w:ascii="細明體" w:eastAsia="細明體" w:hAnsi="細明體" w:cs="細明體" w:hint="eastAsia"/>
          <w:kern w:val="0"/>
        </w:rPr>
        <w:t>規定應說明該用藥可能</w:t>
      </w:r>
      <w:r w:rsidRPr="003F07A2">
        <w:rPr>
          <w:rFonts w:ascii="細明體" w:eastAsia="細明體" w:hAnsi="細明體" w:cs="細明體" w:hint="eastAsia"/>
          <w:kern w:val="0"/>
        </w:rPr>
        <w:t>引起藥物不良反應</w:t>
      </w:r>
      <w:r>
        <w:rPr>
          <w:rFonts w:ascii="細明體" w:eastAsia="細明體" w:hAnsi="細明體" w:cs="細明體" w:hint="eastAsia"/>
          <w:kern w:val="0"/>
        </w:rPr>
        <w:t>為何？</w:t>
      </w:r>
      <w:r w:rsidRPr="003F07A2">
        <w:rPr>
          <w:rFonts w:ascii="細明體" w:eastAsia="細明體" w:hAnsi="細明體" w:cs="細明體" w:hint="eastAsia"/>
          <w:kern w:val="0"/>
        </w:rPr>
        <w:t>徵兆為何</w:t>
      </w:r>
      <w:r>
        <w:rPr>
          <w:rFonts w:ascii="細明體" w:eastAsia="細明體" w:hAnsi="細明體" w:cs="細明體" w:hint="eastAsia"/>
          <w:kern w:val="0"/>
        </w:rPr>
        <w:t>？</w:t>
      </w:r>
      <w:r w:rsidRPr="003F07A2">
        <w:rPr>
          <w:rFonts w:ascii="細明體" w:eastAsia="細明體" w:hAnsi="細明體" w:cs="細明體" w:hint="eastAsia"/>
          <w:kern w:val="0"/>
        </w:rPr>
        <w:t>及</w:t>
      </w:r>
      <w:r>
        <w:rPr>
          <w:rFonts w:ascii="細明體" w:eastAsia="細明體" w:hAnsi="細明體" w:cs="細明體" w:hint="eastAsia"/>
          <w:kern w:val="0"/>
        </w:rPr>
        <w:t>副作用</w:t>
      </w:r>
      <w:r w:rsidRPr="003F07A2">
        <w:rPr>
          <w:rFonts w:ascii="細明體" w:eastAsia="細明體" w:hAnsi="細明體" w:cs="細明體" w:hint="eastAsia"/>
          <w:kern w:val="0"/>
        </w:rPr>
        <w:t>之後果為何，以促使患</w:t>
      </w:r>
      <w:r>
        <w:rPr>
          <w:rFonts w:ascii="細明體" w:eastAsia="細明體" w:hAnsi="細明體" w:cs="細明體" w:hint="eastAsia"/>
          <w:kern w:val="0"/>
        </w:rPr>
        <w:t>者</w:t>
      </w:r>
      <w:r w:rsidRPr="003F07A2">
        <w:rPr>
          <w:rFonts w:ascii="細明體" w:eastAsia="細明體" w:hAnsi="細明體" w:cs="細明體" w:hint="eastAsia"/>
          <w:kern w:val="0"/>
        </w:rPr>
        <w:t>或其家屬注意此一病症，而能及早發現、治療，避免病情嚴重時導致喪命之虞，並</w:t>
      </w:r>
      <w:r>
        <w:rPr>
          <w:rFonts w:ascii="細明體" w:eastAsia="細明體" w:hAnsi="細明體" w:cs="細明體" w:hint="eastAsia"/>
          <w:kern w:val="0"/>
        </w:rPr>
        <w:t>且應</w:t>
      </w:r>
      <w:r w:rsidRPr="003F07A2">
        <w:rPr>
          <w:rFonts w:ascii="細明體" w:eastAsia="細明體" w:hAnsi="細明體" w:cs="細明體" w:hint="eastAsia"/>
          <w:kern w:val="0"/>
        </w:rPr>
        <w:t>徵求</w:t>
      </w:r>
      <w:r>
        <w:rPr>
          <w:rFonts w:ascii="細明體" w:eastAsia="細明體" w:hAnsi="細明體" w:cs="細明體" w:hint="eastAsia"/>
          <w:kern w:val="0"/>
        </w:rPr>
        <w:t>患者</w:t>
      </w:r>
      <w:r w:rsidRPr="003F07A2">
        <w:rPr>
          <w:rFonts w:ascii="細明體" w:eastAsia="細明體" w:hAnsi="細明體" w:cs="細明體" w:hint="eastAsia"/>
          <w:kern w:val="0"/>
        </w:rPr>
        <w:t>同意後</w:t>
      </w:r>
      <w:r>
        <w:rPr>
          <w:rFonts w:ascii="細明體" w:eastAsia="細明體" w:hAnsi="細明體" w:cs="細明體" w:hint="eastAsia"/>
          <w:kern w:val="0"/>
        </w:rPr>
        <w:t>方能</w:t>
      </w:r>
      <w:r w:rsidRPr="003F07A2">
        <w:rPr>
          <w:rFonts w:ascii="細明體" w:eastAsia="細明體" w:hAnsi="細明體" w:cs="細明體" w:hint="eastAsia"/>
          <w:kern w:val="0"/>
        </w:rPr>
        <w:t>用</w:t>
      </w:r>
      <w:r>
        <w:rPr>
          <w:rFonts w:ascii="細明體" w:eastAsia="細明體" w:hAnsi="細明體" w:cs="細明體" w:hint="eastAsia"/>
          <w:kern w:val="0"/>
        </w:rPr>
        <w:t>藥</w:t>
      </w:r>
      <w:r w:rsidRPr="003F07A2">
        <w:rPr>
          <w:rFonts w:ascii="細明體" w:eastAsia="細明體" w:hAnsi="細明體" w:cs="細明體" w:hint="eastAsia"/>
          <w:kern w:val="0"/>
        </w:rPr>
        <w:t>，</w:t>
      </w:r>
      <w:r>
        <w:rPr>
          <w:rFonts w:ascii="細明體" w:eastAsia="細明體" w:hAnsi="細明體" w:cs="細明體" w:hint="eastAsia"/>
          <w:kern w:val="0"/>
        </w:rPr>
        <w:t>若</w:t>
      </w:r>
      <w:r w:rsidRPr="003F07A2">
        <w:rPr>
          <w:rFonts w:ascii="細明體" w:eastAsia="細明體" w:hAnsi="細明體" w:cs="細明體" w:hint="eastAsia"/>
          <w:kern w:val="0"/>
        </w:rPr>
        <w:t>未詳盡說明並徵求同意即逕自</w:t>
      </w:r>
      <w:r>
        <w:rPr>
          <w:rFonts w:ascii="細明體" w:eastAsia="細明體" w:hAnsi="細明體" w:cs="細明體" w:hint="eastAsia"/>
          <w:kern w:val="0"/>
        </w:rPr>
        <w:t>用藥</w:t>
      </w:r>
      <w:r w:rsidRPr="003F07A2">
        <w:rPr>
          <w:rFonts w:ascii="細明體" w:eastAsia="細明體" w:hAnsi="細明體" w:cs="細明體" w:hint="eastAsia"/>
          <w:kern w:val="0"/>
        </w:rPr>
        <w:t>，</w:t>
      </w:r>
      <w:r>
        <w:rPr>
          <w:rFonts w:ascii="細明體" w:eastAsia="細明體" w:hAnsi="細明體" w:cs="細明體" w:hint="eastAsia"/>
          <w:kern w:val="0"/>
        </w:rPr>
        <w:t>則</w:t>
      </w:r>
      <w:r w:rsidRPr="003F07A2">
        <w:rPr>
          <w:rFonts w:ascii="細明體" w:eastAsia="細明體" w:hAnsi="細明體" w:cs="細明體" w:hint="eastAsia"/>
          <w:kern w:val="0"/>
        </w:rPr>
        <w:t>未盡善良管理人之注意，具有過失。</w:t>
      </w:r>
    </w:p>
    <w:p w:rsidR="00DB326D"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rFonts w:hint="eastAsia"/>
          <w:szCs w:val="28"/>
        </w:rPr>
        <w:t>（三）法院較寬鬆的管制─仿單核准適應症外用藥適用說明義務但不須患者同意</w:t>
      </w:r>
    </w:p>
    <w:p w:rsidR="00DB326D" w:rsidRPr="004F17B6"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xml:space="preserve">    </w:t>
      </w:r>
      <w:r>
        <w:rPr>
          <w:rFonts w:hint="eastAsia"/>
          <w:szCs w:val="28"/>
        </w:rPr>
        <w:t>法院認仿單核准適應外用藥醫師應負擔說明義務但毋庸得到患者同意，此種看法依說明義務標準取決於醫師或患者，可分為下列二類型：</w:t>
      </w:r>
    </w:p>
    <w:p w:rsidR="00DB326D"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 xml:space="preserve">  1</w:t>
      </w:r>
      <w:r>
        <w:rPr>
          <w:rFonts w:ascii="細明體" w:eastAsia="細明體" w:hAnsi="細明體" w:cs="細明體" w:hint="eastAsia"/>
          <w:kern w:val="0"/>
        </w:rPr>
        <w:t>、說明義務之標準適用理性病人標準說</w:t>
      </w:r>
      <w:r>
        <w:rPr>
          <w:rStyle w:val="ac"/>
          <w:szCs w:val="28"/>
        </w:rPr>
        <w:footnoteReference w:id="102"/>
      </w:r>
      <w:r>
        <w:rPr>
          <w:rFonts w:ascii="細明體" w:eastAsia="細明體" w:hAnsi="細明體" w:cs="細明體"/>
          <w:kern w:val="0"/>
        </w:rPr>
        <w:t xml:space="preserve"> </w:t>
      </w:r>
    </w:p>
    <w:p w:rsidR="00DB326D"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 xml:space="preserve">     </w:t>
      </w:r>
      <w:r>
        <w:rPr>
          <w:rFonts w:ascii="細明體" w:eastAsia="細明體" w:hAnsi="細明體" w:cs="細明體" w:hint="eastAsia"/>
          <w:kern w:val="0"/>
        </w:rPr>
        <w:t>法院認為依據</w:t>
      </w:r>
      <w:r>
        <w:rPr>
          <w:rFonts w:hint="eastAsia"/>
          <w:szCs w:val="28"/>
        </w:rPr>
        <w:t>醫療法第</w:t>
      </w:r>
      <w:r>
        <w:rPr>
          <w:szCs w:val="28"/>
        </w:rPr>
        <w:t>81</w:t>
      </w:r>
      <w:r>
        <w:rPr>
          <w:rFonts w:hint="eastAsia"/>
          <w:szCs w:val="28"/>
        </w:rPr>
        <w:t>條（舊法第</w:t>
      </w:r>
      <w:r>
        <w:rPr>
          <w:szCs w:val="28"/>
        </w:rPr>
        <w:t>58</w:t>
      </w:r>
      <w:r>
        <w:rPr>
          <w:rFonts w:hint="eastAsia"/>
          <w:szCs w:val="28"/>
        </w:rPr>
        <w:t>條）及醫師法</w:t>
      </w:r>
      <w:r>
        <w:rPr>
          <w:szCs w:val="28"/>
        </w:rPr>
        <w:t>12</w:t>
      </w:r>
      <w:r>
        <w:rPr>
          <w:rFonts w:hint="eastAsia"/>
          <w:szCs w:val="28"/>
        </w:rPr>
        <w:t>條之</w:t>
      </w:r>
      <w:r>
        <w:rPr>
          <w:szCs w:val="28"/>
        </w:rPr>
        <w:t>1</w:t>
      </w:r>
      <w:r>
        <w:rPr>
          <w:rFonts w:hint="eastAsia"/>
          <w:szCs w:val="28"/>
        </w:rPr>
        <w:t>規定醫師應負擔說明義務</w:t>
      </w:r>
      <w:r w:rsidRPr="00EA2504">
        <w:rPr>
          <w:rFonts w:ascii="細明體" w:eastAsia="細明體" w:hAnsi="細明體" w:cs="細明體" w:hint="eastAsia"/>
          <w:kern w:val="0"/>
        </w:rPr>
        <w:t>，著眼於病人身體自主權之保障，</w:t>
      </w:r>
      <w:r>
        <w:rPr>
          <w:rFonts w:ascii="細明體" w:eastAsia="細明體" w:hAnsi="細明體" w:cs="細明體" w:hint="eastAsia"/>
          <w:kern w:val="0"/>
        </w:rPr>
        <w:t>在說明義務的範圍</w:t>
      </w:r>
      <w:r w:rsidRPr="00EA2504">
        <w:rPr>
          <w:rFonts w:ascii="細明體" w:eastAsia="細明體" w:hAnsi="細明體" w:cs="細明體" w:hint="eastAsia"/>
          <w:kern w:val="0"/>
        </w:rPr>
        <w:t>應採「一般理性病人」標準，以一般理性病人而言，就算一般人對於各種風險的忍受度，個案上有所差異，但是通常情況，一般人都會相當重視死亡風險、殘障風險，因為這個風險</w:t>
      </w:r>
      <w:r w:rsidRPr="00EA2504">
        <w:rPr>
          <w:rFonts w:ascii="細明體" w:eastAsia="細明體" w:hAnsi="細明體" w:cs="細明體"/>
          <w:kern w:val="0"/>
        </w:rPr>
        <w:t xml:space="preserve"> </w:t>
      </w:r>
      <w:r w:rsidRPr="00EA2504">
        <w:rPr>
          <w:rFonts w:ascii="細明體" w:eastAsia="細明體" w:hAnsi="細明體" w:cs="細明體" w:hint="eastAsia"/>
          <w:kern w:val="0"/>
        </w:rPr>
        <w:t>一旦實現，對於病人發生無可回復的損害，而且死亡率、殘障率越高，一般病人越是會謹慎小心，除非病人受有重大立即的死亡或其他嚴重損害的威脅，否則這些風險實現可能性縱使再低，一般人仍會認為是一個影響決定的重要資訊，醫師仍應告知，而且，對於醫師而言，進行任何有關此風險的揭露，並不會增加其過高的成本。綜上是認，關於「治療風險、常發生之併發症及副作用暨雖不常發生，但可能發生嚴重後果之風險、死亡率」相關內容的揭露，應屬醫師法第十二條之一規定醫師告知義務所指之「可能之不良反應」範疇</w:t>
      </w:r>
      <w:r>
        <w:rPr>
          <w:rFonts w:ascii="細明體" w:eastAsia="細明體" w:hAnsi="細明體" w:cs="細明體" w:hint="eastAsia"/>
          <w:kern w:val="0"/>
        </w:rPr>
        <w:t>，因此</w:t>
      </w:r>
      <w:r w:rsidRPr="00EA2504">
        <w:rPr>
          <w:rFonts w:ascii="細明體" w:eastAsia="細明體" w:hAnsi="細明體" w:cs="細明體" w:hint="eastAsia"/>
          <w:kern w:val="0"/>
        </w:rPr>
        <w:t>用藥時</w:t>
      </w:r>
      <w:r>
        <w:rPr>
          <w:rFonts w:ascii="細明體" w:eastAsia="細明體" w:hAnsi="細明體" w:cs="細明體" w:hint="eastAsia"/>
          <w:kern w:val="0"/>
        </w:rPr>
        <w:t>對於</w:t>
      </w:r>
      <w:r w:rsidRPr="00EA2504">
        <w:rPr>
          <w:rFonts w:ascii="細明體" w:eastAsia="細明體" w:hAnsi="細明體" w:cs="細明體" w:hint="eastAsia"/>
          <w:kern w:val="0"/>
        </w:rPr>
        <w:t>藥物可能發生之不良反應</w:t>
      </w:r>
      <w:r>
        <w:rPr>
          <w:rFonts w:ascii="細明體" w:eastAsia="細明體" w:hAnsi="細明體" w:cs="細明體" w:hint="eastAsia"/>
          <w:kern w:val="0"/>
        </w:rPr>
        <w:t>縱使發生機率低，但衡量患者並無疾病重大威脅、醫師說明之成本負擔及不良反應對於患者之重大風險</w:t>
      </w:r>
      <w:r w:rsidRPr="00EA2504">
        <w:rPr>
          <w:rFonts w:ascii="細明體" w:eastAsia="細明體" w:hAnsi="細明體" w:cs="細明體" w:hint="eastAsia"/>
          <w:kern w:val="0"/>
        </w:rPr>
        <w:t>，</w:t>
      </w:r>
      <w:r>
        <w:rPr>
          <w:rFonts w:ascii="細明體" w:eastAsia="細明體" w:hAnsi="細明體" w:cs="細明體" w:hint="eastAsia"/>
          <w:kern w:val="0"/>
        </w:rPr>
        <w:t>對於仿單外使用之副作用應負擔說明義務，但依</w:t>
      </w:r>
      <w:r w:rsidRPr="00EA2504">
        <w:rPr>
          <w:rFonts w:ascii="細明體" w:eastAsia="細明體" w:hAnsi="細明體" w:cs="細明體" w:hint="eastAsia"/>
          <w:kern w:val="0"/>
        </w:rPr>
        <w:t>醫師法第十二條之一，僅規範</w:t>
      </w:r>
      <w:r>
        <w:rPr>
          <w:rFonts w:ascii="細明體" w:eastAsia="細明體" w:hAnsi="細明體" w:cs="細明體" w:hint="eastAsia"/>
          <w:kern w:val="0"/>
        </w:rPr>
        <w:t>醫師</w:t>
      </w:r>
      <w:r w:rsidRPr="00EA2504">
        <w:rPr>
          <w:rFonts w:ascii="細明體" w:eastAsia="細明體" w:hAnsi="細明體" w:cs="細明體" w:hint="eastAsia"/>
          <w:kern w:val="0"/>
        </w:rPr>
        <w:t>應負告知可能不良反應之義務，並未進一步規範告知後需徵求病患同意始得為之；</w:t>
      </w:r>
      <w:r>
        <w:rPr>
          <w:rFonts w:ascii="細明體" w:eastAsia="細明體" w:hAnsi="細明體" w:cs="細明體" w:hint="eastAsia"/>
          <w:kern w:val="0"/>
        </w:rPr>
        <w:t>再者，</w:t>
      </w:r>
      <w:r w:rsidRPr="00EA2504">
        <w:rPr>
          <w:rFonts w:ascii="細明體" w:eastAsia="細明體" w:hAnsi="細明體" w:cs="細明體" w:hint="eastAsia"/>
          <w:kern w:val="0"/>
        </w:rPr>
        <w:t>醫師開立藥物給予病患，不屬於侵入性檢查或治療之項目，亦非實施手術之醫療行為，均無</w:t>
      </w:r>
      <w:r>
        <w:rPr>
          <w:rFonts w:ascii="細明體" w:eastAsia="細明體" w:hAnsi="細明體" w:cs="細明體" w:hint="eastAsia"/>
          <w:kern w:val="0"/>
        </w:rPr>
        <w:t>依醫療法或</w:t>
      </w:r>
      <w:r w:rsidRPr="00EA2504">
        <w:rPr>
          <w:rFonts w:ascii="細明體" w:eastAsia="細明體" w:hAnsi="細明體" w:cs="細明體" w:hint="eastAsia"/>
          <w:kern w:val="0"/>
        </w:rPr>
        <w:t>最高法院</w:t>
      </w:r>
      <w:r>
        <w:rPr>
          <w:rFonts w:ascii="細明體" w:eastAsia="細明體" w:hAnsi="細明體" w:cs="細明體"/>
          <w:kern w:val="0"/>
        </w:rPr>
        <w:t>94</w:t>
      </w:r>
      <w:r w:rsidRPr="00EA2504">
        <w:rPr>
          <w:rFonts w:ascii="細明體" w:eastAsia="細明體" w:hAnsi="細明體" w:cs="細明體" w:hint="eastAsia"/>
          <w:kern w:val="0"/>
        </w:rPr>
        <w:t>年台上字第</w:t>
      </w:r>
      <w:r>
        <w:rPr>
          <w:rFonts w:ascii="細明體" w:eastAsia="細明體" w:hAnsi="細明體" w:cs="細明體"/>
          <w:kern w:val="0"/>
        </w:rPr>
        <w:t>2676</w:t>
      </w:r>
      <w:r w:rsidRPr="00EA2504">
        <w:rPr>
          <w:rFonts w:ascii="細明體" w:eastAsia="細明體" w:hAnsi="細明體" w:cs="細明體" w:hint="eastAsia"/>
          <w:kern w:val="0"/>
        </w:rPr>
        <w:t>號判決意旨醫師應徵求病患同意規定之適用。</w:t>
      </w:r>
    </w:p>
    <w:p w:rsidR="00DB326D"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rFonts w:ascii="細明體" w:eastAsia="細明體" w:hAnsi="細明體" w:cs="細明體"/>
          <w:kern w:val="0"/>
        </w:rPr>
        <w:t xml:space="preserve">  2</w:t>
      </w:r>
      <w:r>
        <w:rPr>
          <w:rFonts w:ascii="細明體" w:eastAsia="細明體" w:hAnsi="細明體" w:cs="細明體" w:hint="eastAsia"/>
          <w:kern w:val="0"/>
        </w:rPr>
        <w:t>、說明義務之標準適用理性醫師說</w:t>
      </w:r>
      <w:r>
        <w:rPr>
          <w:rStyle w:val="ac"/>
          <w:szCs w:val="28"/>
        </w:rPr>
        <w:footnoteReference w:id="103"/>
      </w:r>
    </w:p>
    <w:p w:rsidR="00DB326D" w:rsidRPr="003F07A2"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szCs w:val="28"/>
        </w:rPr>
        <w:t xml:space="preserve">    </w:t>
      </w:r>
      <w:r>
        <w:rPr>
          <w:rFonts w:hint="eastAsia"/>
          <w:szCs w:val="28"/>
        </w:rPr>
        <w:t>法院首先認為醫師用藥行為非</w:t>
      </w:r>
      <w:r w:rsidRPr="003F07A2">
        <w:rPr>
          <w:rFonts w:ascii="細明體" w:eastAsia="細明體" w:hAnsi="細明體" w:cs="細明體" w:hint="eastAsia"/>
          <w:kern w:val="0"/>
        </w:rPr>
        <w:t>屬於侵入性檢查或治療之醫療行為，</w:t>
      </w:r>
      <w:r>
        <w:rPr>
          <w:rFonts w:ascii="細明體" w:eastAsia="細明體" w:hAnsi="細明體" w:cs="細明體" w:hint="eastAsia"/>
          <w:kern w:val="0"/>
        </w:rPr>
        <w:t>並</w:t>
      </w:r>
      <w:r w:rsidRPr="003F07A2">
        <w:rPr>
          <w:rFonts w:ascii="細明體" w:eastAsia="細明體" w:hAnsi="細明體" w:cs="細明體" w:hint="eastAsia"/>
          <w:kern w:val="0"/>
        </w:rPr>
        <w:t>無</w:t>
      </w:r>
      <w:r>
        <w:rPr>
          <w:rFonts w:ascii="細明體" w:eastAsia="細明體" w:hAnsi="細明體" w:cs="細明體" w:hint="eastAsia"/>
          <w:kern w:val="0"/>
        </w:rPr>
        <w:t>醫療法上應先取得</w:t>
      </w:r>
      <w:r w:rsidRPr="003F07A2">
        <w:rPr>
          <w:rFonts w:ascii="細明體" w:eastAsia="細明體" w:hAnsi="細明體" w:cs="細明體" w:hint="eastAsia"/>
          <w:kern w:val="0"/>
        </w:rPr>
        <w:t>病患</w:t>
      </w:r>
      <w:r>
        <w:rPr>
          <w:rFonts w:ascii="細明體" w:eastAsia="細明體" w:hAnsi="細明體" w:cs="細明體" w:hint="eastAsia"/>
          <w:kern w:val="0"/>
        </w:rPr>
        <w:t>或其家屬</w:t>
      </w:r>
      <w:r w:rsidRPr="003F07A2">
        <w:rPr>
          <w:rFonts w:ascii="細明體" w:eastAsia="細明體" w:hAnsi="細明體" w:cs="細明體" w:hint="eastAsia"/>
          <w:kern w:val="0"/>
        </w:rPr>
        <w:t>同意</w:t>
      </w:r>
      <w:r>
        <w:rPr>
          <w:rFonts w:ascii="細明體" w:eastAsia="細明體" w:hAnsi="細明體" w:cs="細明體" w:hint="eastAsia"/>
          <w:kern w:val="0"/>
        </w:rPr>
        <w:t>規定之適用</w:t>
      </w:r>
      <w:r w:rsidRPr="003F07A2">
        <w:rPr>
          <w:rFonts w:ascii="細明體" w:eastAsia="細明體" w:hAnsi="細明體" w:cs="細明體" w:hint="eastAsia"/>
          <w:kern w:val="0"/>
        </w:rPr>
        <w:t>。</w:t>
      </w:r>
      <w:r>
        <w:rPr>
          <w:rFonts w:ascii="細明體" w:eastAsia="細明體" w:hAnsi="細明體" w:cs="細明體" w:hint="eastAsia"/>
          <w:kern w:val="0"/>
        </w:rPr>
        <w:t>再者</w:t>
      </w:r>
      <w:r w:rsidRPr="003F07A2">
        <w:rPr>
          <w:rFonts w:ascii="細明體" w:eastAsia="細明體" w:hAnsi="細明體" w:cs="細明體" w:hint="eastAsia"/>
          <w:kern w:val="0"/>
        </w:rPr>
        <w:t>醫療機構及醫師於從事非侵入</w:t>
      </w:r>
      <w:r w:rsidRPr="003F07A2">
        <w:rPr>
          <w:rFonts w:ascii="細明體" w:eastAsia="細明體" w:hAnsi="細明體" w:cs="細明體" w:hint="eastAsia"/>
          <w:kern w:val="0"/>
        </w:rPr>
        <w:lastRenderedPageBreak/>
        <w:t>性醫療行為之說明義務，究應以何種方式為之，法律未為明確規範，</w:t>
      </w:r>
      <w:r>
        <w:rPr>
          <w:rFonts w:ascii="細明體" w:eastAsia="細明體" w:hAnsi="細明體" w:cs="細明體" w:hint="eastAsia"/>
          <w:kern w:val="0"/>
        </w:rPr>
        <w:t>應採</w:t>
      </w:r>
      <w:r w:rsidRPr="003F07A2">
        <w:rPr>
          <w:rFonts w:ascii="細明體" w:eastAsia="細明體" w:hAnsi="細明體" w:cs="細明體" w:hint="eastAsia"/>
          <w:kern w:val="0"/>
        </w:rPr>
        <w:t>理性醫師標準將說明義務的範圍、內容交由醫療專業來判斷，而哪些事項應告知病人端</w:t>
      </w:r>
    </w:p>
    <w:p w:rsidR="00DB326D" w:rsidRPr="004F17B6"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3F07A2">
        <w:rPr>
          <w:rFonts w:ascii="細明體" w:eastAsia="細明體" w:hAnsi="細明體" w:cs="細明體" w:hint="eastAsia"/>
          <w:kern w:val="0"/>
        </w:rPr>
        <w:t>視個別醫療專業之醫療慣行（</w:t>
      </w:r>
      <w:r>
        <w:rPr>
          <w:rFonts w:ascii="細明體" w:eastAsia="細明體" w:hAnsi="細明體" w:cs="細明體"/>
          <w:kern w:val="0"/>
        </w:rPr>
        <w:t>customary practices</w:t>
      </w:r>
      <w:r w:rsidRPr="003F07A2">
        <w:rPr>
          <w:rFonts w:ascii="細明體" w:eastAsia="細明體" w:hAnsi="細明體" w:cs="細明體" w:hint="eastAsia"/>
          <w:kern w:val="0"/>
        </w:rPr>
        <w:t>）而定。換言之，係以「一個理性的醫師，在系爭個案的情況下，都會告知病人的資訊」為判斷標準。是醫師依其專業判斷，於符合醫療常規之情況下，認為其所施用之藥物，無法減緩或治療病患身體上之病痛時，改用其他藥物予以治療，應屬適當必要之醫療行為，且就病患本身而言，目的在於使其接受更適當之醫療照護</w:t>
      </w:r>
      <w:r>
        <w:rPr>
          <w:rFonts w:ascii="細明體" w:eastAsia="細明體" w:hAnsi="細明體" w:cs="細明體" w:hint="eastAsia"/>
          <w:kern w:val="0"/>
        </w:rPr>
        <w:t>，就仿單核准適應症外用藥僅須依理性醫師判斷說明服用藥物後若有不舒服應立即停藥回診檢查，即已盡說明義務。</w:t>
      </w:r>
    </w:p>
    <w:p w:rsidR="00DB326D" w:rsidRDefault="00DB326D" w:rsidP="00DB326D">
      <w:pPr>
        <w:widowControl/>
        <w:spacing w:before="100" w:beforeAutospacing="1" w:after="100" w:afterAutospacing="1"/>
        <w:rPr>
          <w:szCs w:val="28"/>
        </w:rPr>
      </w:pPr>
      <w:r>
        <w:rPr>
          <w:rFonts w:hint="eastAsia"/>
          <w:szCs w:val="28"/>
        </w:rPr>
        <w:t>（四）法院最寬鬆的管制─仿單核准適應症外用藥不適用說明義務</w:t>
      </w:r>
      <w:r>
        <w:rPr>
          <w:rStyle w:val="ac"/>
          <w:szCs w:val="28"/>
        </w:rPr>
        <w:footnoteReference w:id="104"/>
      </w:r>
    </w:p>
    <w:p w:rsidR="00DB326D"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MS Mincho" w:hAnsi="細明體" w:cs="細明體"/>
          <w:kern w:val="0"/>
        </w:rPr>
      </w:pPr>
      <w:r>
        <w:rPr>
          <w:szCs w:val="28"/>
        </w:rPr>
        <w:t xml:space="preserve">    </w:t>
      </w:r>
      <w:r>
        <w:rPr>
          <w:rFonts w:hint="eastAsia"/>
          <w:szCs w:val="28"/>
        </w:rPr>
        <w:t>法院認為</w:t>
      </w:r>
      <w:r w:rsidRPr="003F07A2">
        <w:rPr>
          <w:rFonts w:ascii="細明體" w:eastAsia="細明體" w:hAnsi="細明體" w:cs="細明體" w:hint="eastAsia"/>
          <w:kern w:val="0"/>
        </w:rPr>
        <w:t>醫療機構及醫師之說明義務</w:t>
      </w:r>
      <w:r>
        <w:rPr>
          <w:rFonts w:ascii="細明體" w:eastAsia="細明體" w:hAnsi="細明體" w:cs="細明體" w:hint="eastAsia"/>
          <w:kern w:val="0"/>
        </w:rPr>
        <w:t>建構在</w:t>
      </w:r>
      <w:r w:rsidRPr="003F07A2">
        <w:rPr>
          <w:rFonts w:ascii="細明體" w:eastAsia="細明體" w:hAnsi="細明體" w:cs="細明體" w:hint="eastAsia"/>
          <w:kern w:val="0"/>
        </w:rPr>
        <w:t>醫療法</w:t>
      </w:r>
      <w:r>
        <w:rPr>
          <w:rFonts w:ascii="細明體" w:eastAsia="細明體" w:hAnsi="細明體" w:cs="細明體"/>
          <w:kern w:val="0"/>
        </w:rPr>
        <w:t>81</w:t>
      </w:r>
      <w:r>
        <w:rPr>
          <w:rFonts w:ascii="細明體" w:eastAsia="細明體" w:hAnsi="細明體" w:cs="細明體" w:hint="eastAsia"/>
          <w:kern w:val="0"/>
        </w:rPr>
        <w:t>條（舊法</w:t>
      </w:r>
      <w:r w:rsidRPr="003F07A2">
        <w:rPr>
          <w:rFonts w:ascii="細明體" w:eastAsia="細明體" w:hAnsi="細明體" w:cs="細明體" w:hint="eastAsia"/>
          <w:kern w:val="0"/>
        </w:rPr>
        <w:t>第</w:t>
      </w:r>
      <w:r w:rsidRPr="003F07A2">
        <w:rPr>
          <w:rFonts w:ascii="細明體" w:eastAsia="細明體" w:hAnsi="細明體" w:cs="細明體"/>
          <w:kern w:val="0"/>
        </w:rPr>
        <w:t>58</w:t>
      </w:r>
      <w:r w:rsidRPr="003F07A2">
        <w:rPr>
          <w:rFonts w:ascii="細明體" w:eastAsia="細明體" w:hAnsi="細明體" w:cs="細明體" w:hint="eastAsia"/>
          <w:kern w:val="0"/>
        </w:rPr>
        <w:t>條</w:t>
      </w:r>
      <w:r>
        <w:rPr>
          <w:rFonts w:ascii="細明體" w:eastAsia="細明體" w:hAnsi="細明體" w:cs="細明體" w:hint="eastAsia"/>
          <w:kern w:val="0"/>
        </w:rPr>
        <w:t>）及</w:t>
      </w:r>
      <w:r w:rsidRPr="003F07A2">
        <w:rPr>
          <w:rFonts w:ascii="細明體" w:eastAsia="細明體" w:hAnsi="細明體" w:cs="細明體" w:hint="eastAsia"/>
          <w:kern w:val="0"/>
        </w:rPr>
        <w:t>醫師法第</w:t>
      </w:r>
      <w:r w:rsidRPr="003F07A2">
        <w:rPr>
          <w:rFonts w:ascii="細明體" w:eastAsia="細明體" w:hAnsi="細明體" w:cs="細明體"/>
          <w:kern w:val="0"/>
        </w:rPr>
        <w:t>12</w:t>
      </w:r>
      <w:r w:rsidRPr="003F07A2">
        <w:rPr>
          <w:rFonts w:ascii="細明體" w:eastAsia="細明體" w:hAnsi="細明體" w:cs="細明體" w:hint="eastAsia"/>
          <w:kern w:val="0"/>
        </w:rPr>
        <w:t>條之</w:t>
      </w:r>
      <w:r w:rsidRPr="003F07A2">
        <w:rPr>
          <w:rFonts w:ascii="細明體" w:eastAsia="細明體" w:hAnsi="細明體" w:cs="細明體"/>
          <w:kern w:val="0"/>
        </w:rPr>
        <w:t xml:space="preserve">1 </w:t>
      </w:r>
      <w:r w:rsidRPr="003F07A2">
        <w:rPr>
          <w:rFonts w:ascii="細明體" w:eastAsia="細明體" w:hAnsi="細明體" w:cs="細明體" w:hint="eastAsia"/>
          <w:kern w:val="0"/>
        </w:rPr>
        <w:t>規定</w:t>
      </w:r>
      <w:r>
        <w:rPr>
          <w:rFonts w:ascii="細明體" w:eastAsia="細明體" w:hAnsi="細明體" w:cs="細明體" w:hint="eastAsia"/>
          <w:kern w:val="0"/>
        </w:rPr>
        <w:t>之上，</w:t>
      </w:r>
      <w:r w:rsidRPr="003F07A2">
        <w:rPr>
          <w:rFonts w:ascii="細明體" w:eastAsia="細明體" w:hAnsi="細明體" w:cs="細明體" w:hint="eastAsia"/>
          <w:kern w:val="0"/>
        </w:rPr>
        <w:t>關於醫療行為應得病人的同意，是建立在「</w:t>
      </w:r>
      <w:r w:rsidRPr="003F07A2">
        <w:rPr>
          <w:rFonts w:ascii="細明體" w:eastAsia="細明體" w:hAnsi="細明體" w:cs="細明體"/>
          <w:kern w:val="0"/>
        </w:rPr>
        <w:t>Informed Consent</w:t>
      </w:r>
      <w:r w:rsidRPr="003F07A2">
        <w:rPr>
          <w:rFonts w:ascii="細明體" w:eastAsia="細明體" w:hAnsi="細明體" w:cs="細明體" w:hint="eastAsia"/>
          <w:kern w:val="0"/>
        </w:rPr>
        <w:t>（受告知後同意）」之法律概念上，即指醫生應作必要說明使病人得就某種醫療行為作成同意的決定。然法定之說明義務惟在醫師實施「侵入性之醫療行為」時始有之，至「非侵入性之醫療行為」，則須視意定契約內容之有無決之，尚不能不予區分而一昧均予適用。蓋若屬非侵入性之醫療行為，原則上應無違法性發生之可能。換言之，說明告知義務之踐行，是阻卻侵害病人身體健康之違法性，若認定醫生未盡說明義務時，則其應就違反此項說明義務而生的損害負賠償責任。</w:t>
      </w:r>
      <w:r>
        <w:rPr>
          <w:rFonts w:ascii="細明體" w:eastAsia="細明體" w:hAnsi="細明體" w:cs="細明體" w:hint="eastAsia"/>
          <w:kern w:val="0"/>
        </w:rPr>
        <w:t>醫師若</w:t>
      </w:r>
      <w:r w:rsidRPr="003F07A2">
        <w:rPr>
          <w:rFonts w:ascii="細明體" w:eastAsia="細明體" w:hAnsi="細明體" w:cs="細明體" w:hint="eastAsia"/>
          <w:kern w:val="0"/>
        </w:rPr>
        <w:t>未施行手術，而係採支持療法</w:t>
      </w:r>
      <w:r>
        <w:rPr>
          <w:rFonts w:ascii="細明體" w:eastAsia="細明體" w:hAnsi="細明體" w:cs="細明體" w:hint="eastAsia"/>
          <w:kern w:val="0"/>
        </w:rPr>
        <w:t>之用藥，且患者所受之</w:t>
      </w:r>
      <w:r w:rsidRPr="003F07A2">
        <w:rPr>
          <w:rFonts w:ascii="細明體" w:eastAsia="細明體" w:hAnsi="細明體" w:cs="細明體" w:hint="eastAsia"/>
          <w:kern w:val="0"/>
        </w:rPr>
        <w:t>傷害，乃不可預見之醫療損害，既非基於醫師之醫療行為而導致，</w:t>
      </w:r>
      <w:r>
        <w:rPr>
          <w:rFonts w:ascii="細明體" w:eastAsia="細明體" w:hAnsi="細明體" w:cs="細明體" w:hint="eastAsia"/>
          <w:kern w:val="0"/>
        </w:rPr>
        <w:t>亦</w:t>
      </w:r>
      <w:r w:rsidRPr="003F07A2">
        <w:rPr>
          <w:rFonts w:ascii="細明體" w:eastAsia="細明體" w:hAnsi="細明體" w:cs="細明體" w:hint="eastAsia"/>
          <w:kern w:val="0"/>
        </w:rPr>
        <w:t>未以「侵入性之醫療行為治療，即不須得到</w:t>
      </w:r>
      <w:r>
        <w:rPr>
          <w:rFonts w:ascii="細明體" w:eastAsia="細明體" w:hAnsi="細明體" w:cs="細明體" w:hint="eastAsia"/>
          <w:kern w:val="0"/>
        </w:rPr>
        <w:t>患者</w:t>
      </w:r>
      <w:r w:rsidRPr="003F07A2">
        <w:rPr>
          <w:rFonts w:ascii="細明體" w:eastAsia="細明體" w:hAnsi="細明體" w:cs="細明體" w:hint="eastAsia"/>
          <w:kern w:val="0"/>
        </w:rPr>
        <w:t>同意而阻卻身體健康侵害之違法性。不因</w:t>
      </w:r>
      <w:r>
        <w:rPr>
          <w:rFonts w:ascii="細明體" w:eastAsia="細明體" w:hAnsi="細明體" w:cs="細明體" w:hint="eastAsia"/>
          <w:kern w:val="0"/>
        </w:rPr>
        <w:t>醫師</w:t>
      </w:r>
      <w:r w:rsidRPr="003F07A2">
        <w:rPr>
          <w:rFonts w:ascii="細明體" w:eastAsia="細明體" w:hAnsi="細明體" w:cs="細明體" w:hint="eastAsia"/>
          <w:kern w:val="0"/>
        </w:rPr>
        <w:t>是否告知與說明，改變其所為醫療行為符合醫療常規之適法性判斷。</w:t>
      </w:r>
    </w:p>
    <w:p w:rsidR="00DB326D" w:rsidRDefault="00DB326D" w:rsidP="00DB326D">
      <w:pPr>
        <w:widowControl/>
        <w:spacing w:before="100" w:beforeAutospacing="1" w:after="100" w:afterAutospacing="1" w:line="240" w:lineRule="atLeast"/>
        <w:rPr>
          <w:szCs w:val="28"/>
        </w:rPr>
      </w:pPr>
      <w:r>
        <w:rPr>
          <w:rFonts w:hint="eastAsia"/>
          <w:szCs w:val="28"/>
        </w:rPr>
        <w:t>（五）司法管制之缺失及本文看法</w:t>
      </w:r>
      <w:r>
        <w:rPr>
          <w:rFonts w:eastAsia="MS Mincho"/>
          <w:szCs w:val="28"/>
        </w:rPr>
        <w:t xml:space="preserve"> </w:t>
      </w:r>
    </w:p>
    <w:p w:rsidR="00DB326D" w:rsidRDefault="00DB326D" w:rsidP="00DB326D">
      <w:pPr>
        <w:widowControl/>
        <w:spacing w:before="100" w:beforeAutospacing="1" w:after="100" w:afterAutospacing="1" w:line="240" w:lineRule="atLeast"/>
        <w:rPr>
          <w:szCs w:val="28"/>
        </w:rPr>
      </w:pPr>
      <w:r>
        <w:rPr>
          <w:szCs w:val="28"/>
        </w:rPr>
        <w:t xml:space="preserve">    </w:t>
      </w:r>
      <w:r>
        <w:rPr>
          <w:rFonts w:hint="eastAsia"/>
          <w:szCs w:val="28"/>
        </w:rPr>
        <w:t>上開判決見解有下列之缺失產生及本文看法：</w:t>
      </w:r>
    </w:p>
    <w:p w:rsidR="00DB326D" w:rsidRPr="00EB70ED" w:rsidRDefault="00DB326D" w:rsidP="00DB326D">
      <w:pPr>
        <w:widowControl/>
        <w:spacing w:before="100" w:beforeAutospacing="1" w:after="100" w:afterAutospacing="1" w:line="240" w:lineRule="atLeast"/>
        <w:rPr>
          <w:szCs w:val="28"/>
        </w:rPr>
      </w:pPr>
      <w:r>
        <w:rPr>
          <w:szCs w:val="28"/>
        </w:rPr>
        <w:t>1</w:t>
      </w:r>
      <w:r>
        <w:rPr>
          <w:rFonts w:hint="eastAsia"/>
          <w:szCs w:val="28"/>
        </w:rPr>
        <w:t>、就最嚴格管制而言</w:t>
      </w:r>
    </w:p>
    <w:p w:rsidR="00DB326D" w:rsidRDefault="00DB326D" w:rsidP="00DB326D">
      <w:pPr>
        <w:widowControl/>
        <w:numPr>
          <w:ilvl w:val="0"/>
          <w:numId w:val="33"/>
        </w:numPr>
        <w:spacing w:before="100" w:beforeAutospacing="1" w:after="100" w:afterAutospacing="1"/>
        <w:rPr>
          <w:szCs w:val="28"/>
        </w:rPr>
      </w:pPr>
      <w:r>
        <w:rPr>
          <w:rFonts w:hint="eastAsia"/>
          <w:szCs w:val="28"/>
        </w:rPr>
        <w:t>實驗性治療定義不明</w:t>
      </w:r>
    </w:p>
    <w:p w:rsidR="00DB326D" w:rsidRDefault="00DB326D" w:rsidP="00DB326D">
      <w:pPr>
        <w:widowControl/>
        <w:spacing w:before="100" w:beforeAutospacing="1" w:after="100" w:afterAutospacing="1"/>
        <w:rPr>
          <w:szCs w:val="28"/>
        </w:rPr>
      </w:pPr>
      <w:r>
        <w:rPr>
          <w:szCs w:val="28"/>
        </w:rPr>
        <w:t xml:space="preserve">    </w:t>
      </w:r>
      <w:r>
        <w:rPr>
          <w:rFonts w:hint="eastAsia"/>
          <w:szCs w:val="28"/>
        </w:rPr>
        <w:t>所謂實驗性治療在我國法令中並無相關名詞，因此法院自行創造出實驗性治療的名詞，並且在判決中亦未加以定義，因此實驗性治療與藥物人體試驗是否同義並不得而知。在美國實驗性治療（</w:t>
      </w:r>
      <w:r>
        <w:rPr>
          <w:szCs w:val="28"/>
        </w:rPr>
        <w:t>experimental therapy</w:t>
      </w:r>
      <w:r>
        <w:rPr>
          <w:rFonts w:hint="eastAsia"/>
          <w:szCs w:val="28"/>
        </w:rPr>
        <w:t>）往往乃係相對於標準治療（</w:t>
      </w:r>
      <w:r>
        <w:rPr>
          <w:szCs w:val="28"/>
        </w:rPr>
        <w:t>standard therapy</w:t>
      </w:r>
      <w:r>
        <w:rPr>
          <w:rFonts w:hint="eastAsia"/>
          <w:szCs w:val="28"/>
        </w:rPr>
        <w:t>）而言，並非所有實驗性治療均被當作須要</w:t>
      </w:r>
      <w:r>
        <w:rPr>
          <w:szCs w:val="28"/>
        </w:rPr>
        <w:t>IRB</w:t>
      </w:r>
      <w:r>
        <w:rPr>
          <w:rFonts w:hint="eastAsia"/>
          <w:szCs w:val="28"/>
        </w:rPr>
        <w:t>核准之研究，還要再區分所謂治療與研究的不同，但有時這兩者難以辨別，兩者有時會一</w:t>
      </w:r>
      <w:r>
        <w:rPr>
          <w:rFonts w:hint="eastAsia"/>
          <w:szCs w:val="28"/>
        </w:rPr>
        <w:lastRenderedPageBreak/>
        <w:t>起發生，例如：研究是設計用以評估治療。當醫師在重大方式背離標準或一般治療時，這樣的創新治療並不一定構成研究，因此關於研究與治療的區分在美國學界亦引起大量的討論</w:t>
      </w:r>
      <w:r>
        <w:rPr>
          <w:rStyle w:val="ac"/>
          <w:szCs w:val="28"/>
        </w:rPr>
        <w:footnoteReference w:id="105"/>
      </w:r>
      <w:r>
        <w:rPr>
          <w:rFonts w:hint="eastAsia"/>
          <w:szCs w:val="28"/>
        </w:rPr>
        <w:t>，法院將仿單核准適應症外使用歸類在一個在國內法令中未見使用之實驗性治療名詞之上，且未提及區分實驗性治療與標準治療之標準及實益，實令人感到突兀。</w:t>
      </w:r>
    </w:p>
    <w:p w:rsidR="00DB326D" w:rsidRDefault="00DB326D" w:rsidP="00DB326D">
      <w:pPr>
        <w:widowControl/>
        <w:numPr>
          <w:ilvl w:val="0"/>
          <w:numId w:val="33"/>
        </w:numPr>
        <w:spacing w:before="100" w:beforeAutospacing="1" w:after="100" w:afterAutospacing="1"/>
        <w:ind w:left="426" w:hanging="568"/>
        <w:rPr>
          <w:szCs w:val="28"/>
        </w:rPr>
      </w:pPr>
      <w:r>
        <w:rPr>
          <w:rFonts w:hint="eastAsia"/>
          <w:szCs w:val="28"/>
        </w:rPr>
        <w:t>仿單核准適應症外使用之安全性是否應建築在外國是否有無核准該新適應症之上</w:t>
      </w:r>
    </w:p>
    <w:p w:rsidR="00DB326D" w:rsidRDefault="00DB326D" w:rsidP="00DB326D">
      <w:pPr>
        <w:widowControl/>
        <w:spacing w:before="100" w:beforeAutospacing="1" w:after="100" w:afterAutospacing="1"/>
        <w:rPr>
          <w:szCs w:val="28"/>
        </w:rPr>
      </w:pPr>
      <w:r>
        <w:rPr>
          <w:szCs w:val="28"/>
        </w:rPr>
        <w:t xml:space="preserve">    </w:t>
      </w:r>
      <w:r>
        <w:rPr>
          <w:rFonts w:hint="eastAsia"/>
          <w:szCs w:val="28"/>
        </w:rPr>
        <w:t>法院認為醫師未能提出該藥用於催生之適應症於外國已有核准之證明，而認該仿單外使用有安全性之問題，然而，關於藥商就仿單變更之意願，有時並非係因仿單外使用欠缺安全性之問題，往往是基於經濟利益的考量，已如前述，因此，以新的適應症是否有通過仿單變更之核准，作為仿單外使用用藥安全性之擔保，實屬速斷。醫師基於具有研究品質及正當來源之醫學文獻所得資訊，作為治療所憑之依據，對於用藥之適當性、安全性已獲確保，亦如前述，至於仿單記載適應症變更核准與否，並非係用藥安全性唯一確保途徑。</w:t>
      </w:r>
    </w:p>
    <w:p w:rsidR="00DB326D" w:rsidRDefault="00DB326D" w:rsidP="00DB326D">
      <w:pPr>
        <w:widowControl/>
        <w:numPr>
          <w:ilvl w:val="0"/>
          <w:numId w:val="33"/>
        </w:numPr>
        <w:spacing w:before="100" w:beforeAutospacing="1" w:after="100" w:afterAutospacing="1" w:line="240" w:lineRule="atLeast"/>
        <w:rPr>
          <w:szCs w:val="28"/>
        </w:rPr>
      </w:pPr>
      <w:r>
        <w:rPr>
          <w:rFonts w:hint="eastAsia"/>
          <w:szCs w:val="28"/>
        </w:rPr>
        <w:t>實驗性治療、替代性治療之說明義務基礎與說明義務內容</w:t>
      </w:r>
      <w:r>
        <w:rPr>
          <w:szCs w:val="28"/>
        </w:rPr>
        <w:t xml:space="preserve"> </w:t>
      </w:r>
    </w:p>
    <w:p w:rsidR="00DB326D" w:rsidRDefault="00DB326D" w:rsidP="00DB326D">
      <w:pPr>
        <w:autoSpaceDE w:val="0"/>
        <w:autoSpaceDN w:val="0"/>
        <w:adjustRightInd w:val="0"/>
        <w:spacing w:line="240" w:lineRule="atLeast"/>
        <w:ind w:left="2"/>
        <w:rPr>
          <w:szCs w:val="28"/>
        </w:rPr>
      </w:pPr>
      <w:r>
        <w:rPr>
          <w:szCs w:val="28"/>
        </w:rPr>
        <w:t xml:space="preserve">    </w:t>
      </w:r>
      <w:r>
        <w:rPr>
          <w:rFonts w:hint="eastAsia"/>
          <w:szCs w:val="28"/>
        </w:rPr>
        <w:t>法院依民法第</w:t>
      </w:r>
      <w:r>
        <w:rPr>
          <w:szCs w:val="28"/>
        </w:rPr>
        <w:t>540</w:t>
      </w:r>
      <w:r>
        <w:rPr>
          <w:rFonts w:hint="eastAsia"/>
          <w:szCs w:val="28"/>
        </w:rPr>
        <w:t>條去架構實驗性治療之說明義務法理基礎，但對於說明義務採取的標準係以契約中善良管理人之注意義務即理性醫師標準（</w:t>
      </w:r>
      <w:r w:rsidRPr="00797325">
        <w:rPr>
          <w:rFonts w:cs="標楷體"/>
          <w:bCs/>
          <w:szCs w:val="28"/>
          <w:lang w:val="zh-TW"/>
        </w:rPr>
        <w:t>reasonable physician standard</w:t>
      </w:r>
      <w:r w:rsidRPr="00797325">
        <w:rPr>
          <w:rFonts w:cs="標楷體" w:hint="eastAsia"/>
          <w:bCs/>
          <w:szCs w:val="28"/>
          <w:lang w:val="zh-TW"/>
        </w:rPr>
        <w:t>）</w:t>
      </w:r>
      <w:r>
        <w:rPr>
          <w:rFonts w:cs="標楷體" w:hint="eastAsia"/>
          <w:bCs/>
          <w:szCs w:val="28"/>
          <w:lang w:val="zh-TW"/>
        </w:rPr>
        <w:t>或者理性病人標準（</w:t>
      </w:r>
      <w:r w:rsidRPr="00797325">
        <w:rPr>
          <w:rFonts w:eastAsia="標楷體"/>
          <w:bCs/>
          <w:kern w:val="0"/>
          <w:lang w:val="zh-TW"/>
        </w:rPr>
        <w:t>reasonable man standard</w:t>
      </w:r>
      <w:r>
        <w:rPr>
          <w:rFonts w:eastAsia="標楷體" w:hint="eastAsia"/>
          <w:bCs/>
          <w:kern w:val="0"/>
          <w:lang w:val="zh-TW"/>
        </w:rPr>
        <w:t>）</w:t>
      </w:r>
      <w:r w:rsidRPr="00797325">
        <w:rPr>
          <w:rFonts w:ascii="新細明體" w:hAnsi="新細明體" w:hint="eastAsia"/>
          <w:bCs/>
          <w:kern w:val="0"/>
          <w:lang w:val="zh-TW"/>
        </w:rPr>
        <w:t>，或者折衷說</w:t>
      </w:r>
      <w:r>
        <w:rPr>
          <w:rFonts w:ascii="新細明體" w:hAnsi="新細明體" w:hint="eastAsia"/>
          <w:bCs/>
          <w:kern w:val="0"/>
          <w:lang w:val="zh-TW"/>
        </w:rPr>
        <w:t>，均未見法院表示看法，若採取理性醫師標準，被告主張其他醫學中心醫師均使用該藥催生且亦均未向患者說明屬實的話，則該仿單外使用即非說明義務之內容，即無說明義務違反之問題，因此法院究竟係持何種說明義務之標準，即有闡述之必要，惟法院並未明示；另外，法院認為有署核藥物之替代性治療之存在有向患者說明之必要，然而何種用藥始構成替代性治療</w:t>
      </w:r>
      <w:r w:rsidRPr="00A119DC">
        <w:rPr>
          <w:rFonts w:cs="標楷體" w:hint="eastAsia"/>
          <w:lang w:val="zh-TW"/>
        </w:rPr>
        <w:t>（</w:t>
      </w:r>
      <w:r w:rsidRPr="00A119DC">
        <w:rPr>
          <w:rFonts w:cs="標楷體"/>
          <w:lang w:val="zh-TW"/>
        </w:rPr>
        <w:t>alternative treatment</w:t>
      </w:r>
      <w:r w:rsidRPr="00A119DC">
        <w:rPr>
          <w:rFonts w:cs="標楷體" w:hint="eastAsia"/>
          <w:lang w:val="zh-TW"/>
        </w:rPr>
        <w:t>）</w:t>
      </w:r>
      <w:r>
        <w:rPr>
          <w:rFonts w:cs="標楷體" w:hint="eastAsia"/>
          <w:lang w:val="zh-TW"/>
        </w:rPr>
        <w:t>，法院並未表示看法，</w:t>
      </w:r>
      <w:r w:rsidRPr="003D0CDC">
        <w:rPr>
          <w:rFonts w:cs="標楷體" w:hint="eastAsia"/>
          <w:szCs w:val="28"/>
          <w:lang w:val="zh-TW"/>
        </w:rPr>
        <w:t>當醫學上認定有意義及適當的治療有多種同樣價值的可能療法，而這些療法會帶給病患不同的副作用，危險性和成功機率時，充分地向病患解釋說明這些可能療法是必要的</w:t>
      </w:r>
      <w:r>
        <w:rPr>
          <w:rFonts w:cs="標楷體" w:hint="eastAsia"/>
          <w:szCs w:val="28"/>
          <w:lang w:val="zh-TW"/>
        </w:rPr>
        <w:t>，但若</w:t>
      </w:r>
      <w:r w:rsidRPr="003D0CDC">
        <w:rPr>
          <w:rFonts w:cs="標楷體" w:hint="eastAsia"/>
          <w:bCs/>
          <w:szCs w:val="28"/>
          <w:lang w:val="zh-TW"/>
        </w:rPr>
        <w:t>危險性較低但治療成效較差或者危險性較高</w:t>
      </w:r>
      <w:r>
        <w:rPr>
          <w:rFonts w:cs="標楷體" w:hint="eastAsia"/>
          <w:bCs/>
          <w:szCs w:val="28"/>
          <w:lang w:val="zh-TW"/>
        </w:rPr>
        <w:t>但治療成效相當</w:t>
      </w:r>
      <w:r w:rsidRPr="003D0CDC">
        <w:rPr>
          <w:rFonts w:cs="標楷體" w:hint="eastAsia"/>
          <w:bCs/>
          <w:szCs w:val="28"/>
          <w:lang w:val="zh-TW"/>
        </w:rPr>
        <w:t>是否構成替代性治療</w:t>
      </w:r>
      <w:r>
        <w:rPr>
          <w:rStyle w:val="ac"/>
          <w:rFonts w:cs="標楷體"/>
          <w:bCs/>
          <w:szCs w:val="28"/>
          <w:lang w:val="zh-TW"/>
        </w:rPr>
        <w:footnoteReference w:id="106"/>
      </w:r>
      <w:r>
        <w:rPr>
          <w:rFonts w:cs="標楷體" w:hint="eastAsia"/>
          <w:bCs/>
          <w:szCs w:val="28"/>
          <w:lang w:val="zh-TW"/>
        </w:rPr>
        <w:t>？以本案來說若署核藥物與非署核藥物催生效果如何，副作用如何，是否存在所謂替代性治療，在本案亦不見法院表示看法，逕以有署核藥物即構成替代性治療存在，論述尚嫌簡化。</w:t>
      </w:r>
      <w:r>
        <w:rPr>
          <w:rFonts w:cs="標楷體"/>
          <w:bCs/>
          <w:szCs w:val="28"/>
          <w:lang w:val="zh-TW"/>
        </w:rPr>
        <w:t xml:space="preserve"> </w:t>
      </w:r>
      <w:r>
        <w:rPr>
          <w:rFonts w:cs="標楷體" w:hint="eastAsia"/>
          <w:bCs/>
          <w:szCs w:val="28"/>
          <w:lang w:val="zh-TW"/>
        </w:rPr>
        <w:t xml:space="preserve">                             </w:t>
      </w:r>
      <w:r>
        <w:rPr>
          <w:rFonts w:hint="eastAsia"/>
          <w:szCs w:val="28"/>
        </w:rPr>
        <w:t>（</w:t>
      </w:r>
      <w:r>
        <w:rPr>
          <w:szCs w:val="28"/>
        </w:rPr>
        <w:t>4</w:t>
      </w:r>
      <w:r>
        <w:rPr>
          <w:rFonts w:hint="eastAsia"/>
          <w:szCs w:val="28"/>
        </w:rPr>
        <w:t>）違反說明義務之法律效果是否等於有侵權行為責任之過失</w:t>
      </w:r>
      <w:r>
        <w:rPr>
          <w:rFonts w:eastAsia="MS Mincho"/>
          <w:szCs w:val="28"/>
        </w:rPr>
        <w:t xml:space="preserve"> </w:t>
      </w:r>
    </w:p>
    <w:p w:rsidR="00DB326D" w:rsidRPr="005A1A34" w:rsidRDefault="00DB326D" w:rsidP="00DB326D">
      <w:pPr>
        <w:autoSpaceDE w:val="0"/>
        <w:autoSpaceDN w:val="0"/>
        <w:adjustRightInd w:val="0"/>
        <w:spacing w:line="240" w:lineRule="atLeast"/>
        <w:ind w:left="2"/>
        <w:rPr>
          <w:rFonts w:cs="標楷體"/>
          <w:szCs w:val="28"/>
          <w:lang w:val="zh-TW"/>
        </w:rPr>
      </w:pPr>
      <w:r>
        <w:rPr>
          <w:szCs w:val="28"/>
        </w:rPr>
        <w:t xml:space="preserve">    </w:t>
      </w:r>
      <w:r>
        <w:rPr>
          <w:rFonts w:hint="eastAsia"/>
          <w:szCs w:val="28"/>
        </w:rPr>
        <w:t>法院跳躍式認定被告就使用</w:t>
      </w:r>
      <w:proofErr w:type="spellStart"/>
      <w:r>
        <w:rPr>
          <w:szCs w:val="28"/>
        </w:rPr>
        <w:t>Cytotec</w:t>
      </w:r>
      <w:proofErr w:type="spellEnd"/>
      <w:r>
        <w:rPr>
          <w:rFonts w:hint="eastAsia"/>
          <w:szCs w:val="28"/>
        </w:rPr>
        <w:t>催生之仿單外使用係屬實驗性治療及另有署核催生藥物之替代性治療，未向患者說明部分係違反醫療契約中說明義務，</w:t>
      </w:r>
      <w:r>
        <w:rPr>
          <w:rFonts w:hint="eastAsia"/>
          <w:szCs w:val="28"/>
        </w:rPr>
        <w:lastRenderedPageBreak/>
        <w:t>但為何法律效果係有侵權行為責任之過失？本文認為說明義務之違反與侵權行為責任之過失連結</w:t>
      </w:r>
      <w:r w:rsidRPr="005A1A34">
        <w:rPr>
          <w:rFonts w:cs="標楷體" w:hint="eastAsia"/>
          <w:szCs w:val="28"/>
          <w:lang w:val="zh-TW"/>
        </w:rPr>
        <w:t>，</w:t>
      </w:r>
      <w:r>
        <w:rPr>
          <w:rFonts w:cs="標楷體" w:hint="eastAsia"/>
          <w:szCs w:val="28"/>
          <w:lang w:val="zh-TW"/>
        </w:rPr>
        <w:t>通常是</w:t>
      </w:r>
      <w:r w:rsidRPr="005A1A34">
        <w:rPr>
          <w:rFonts w:cs="標楷體" w:hint="eastAsia"/>
          <w:szCs w:val="28"/>
          <w:lang w:val="zh-TW"/>
        </w:rPr>
        <w:t>在病人自主決定權未被接受成為獨立之權利態樣時，為保護病患，因無具體之權利受侵害，利用民法第</w:t>
      </w:r>
      <w:r w:rsidRPr="005A1A34">
        <w:rPr>
          <w:rFonts w:cs="標楷體"/>
          <w:szCs w:val="28"/>
          <w:lang w:val="zh-TW"/>
        </w:rPr>
        <w:t>184</w:t>
      </w:r>
      <w:r w:rsidRPr="005A1A34">
        <w:rPr>
          <w:rFonts w:cs="標楷體" w:hint="eastAsia"/>
          <w:szCs w:val="28"/>
          <w:lang w:val="zh-TW"/>
        </w:rPr>
        <w:t>條第</w:t>
      </w:r>
      <w:r w:rsidRPr="005A1A34">
        <w:rPr>
          <w:rFonts w:cs="標楷體"/>
          <w:szCs w:val="28"/>
          <w:lang w:val="zh-TW"/>
        </w:rPr>
        <w:t>2</w:t>
      </w:r>
      <w:r w:rsidRPr="005A1A34">
        <w:rPr>
          <w:rFonts w:cs="標楷體" w:hint="eastAsia"/>
          <w:szCs w:val="28"/>
          <w:lang w:val="zh-TW"/>
        </w:rPr>
        <w:t>項規定，而將客觀法規範之違反作為侵權行為構成要件之實現，成為獨立之侵權行為類型，我國於</w:t>
      </w:r>
      <w:r w:rsidRPr="005A1A34">
        <w:rPr>
          <w:rFonts w:cs="標楷體"/>
          <w:szCs w:val="28"/>
          <w:lang w:val="zh-TW"/>
        </w:rPr>
        <w:t>91</w:t>
      </w:r>
      <w:r w:rsidRPr="005A1A34">
        <w:rPr>
          <w:rFonts w:cs="標楷體" w:hint="eastAsia"/>
          <w:szCs w:val="28"/>
          <w:lang w:val="zh-TW"/>
        </w:rPr>
        <w:t>年</w:t>
      </w:r>
      <w:r w:rsidRPr="005A1A34">
        <w:rPr>
          <w:rFonts w:cs="標楷體"/>
          <w:szCs w:val="28"/>
          <w:lang w:val="zh-TW"/>
        </w:rPr>
        <w:t>1</w:t>
      </w:r>
      <w:r w:rsidRPr="005A1A34">
        <w:rPr>
          <w:rFonts w:cs="標楷體" w:hint="eastAsia"/>
          <w:szCs w:val="28"/>
          <w:lang w:val="zh-TW"/>
        </w:rPr>
        <w:t>月</w:t>
      </w:r>
      <w:r w:rsidRPr="005A1A34">
        <w:rPr>
          <w:rFonts w:cs="標楷體"/>
          <w:szCs w:val="28"/>
          <w:lang w:val="zh-TW"/>
        </w:rPr>
        <w:t>16</w:t>
      </w:r>
      <w:r w:rsidRPr="005A1A34">
        <w:rPr>
          <w:rFonts w:cs="標楷體" w:hint="eastAsia"/>
          <w:szCs w:val="28"/>
          <w:lang w:val="zh-TW"/>
        </w:rPr>
        <w:t>日在醫師法增列第</w:t>
      </w:r>
      <w:r w:rsidRPr="005A1A34">
        <w:rPr>
          <w:rFonts w:cs="標楷體"/>
          <w:szCs w:val="28"/>
          <w:lang w:val="zh-TW"/>
        </w:rPr>
        <w:t>12</w:t>
      </w:r>
      <w:r w:rsidRPr="005A1A34">
        <w:rPr>
          <w:rFonts w:cs="標楷體" w:hint="eastAsia"/>
          <w:szCs w:val="28"/>
          <w:lang w:val="zh-TW"/>
        </w:rPr>
        <w:t>條之</w:t>
      </w:r>
      <w:r w:rsidRPr="005A1A34">
        <w:rPr>
          <w:rFonts w:cs="標楷體"/>
          <w:szCs w:val="28"/>
          <w:lang w:val="zh-TW"/>
        </w:rPr>
        <w:t>1</w:t>
      </w:r>
      <w:r w:rsidRPr="005A1A34">
        <w:rPr>
          <w:rFonts w:cs="標楷體" w:hint="eastAsia"/>
          <w:szCs w:val="28"/>
          <w:lang w:val="zh-TW"/>
        </w:rPr>
        <w:t>課以醫師告知及告知範圍之義務，</w:t>
      </w:r>
      <w:r>
        <w:rPr>
          <w:rFonts w:cs="標楷體" w:hint="eastAsia"/>
          <w:szCs w:val="28"/>
          <w:lang w:val="zh-TW"/>
        </w:rPr>
        <w:t>並</w:t>
      </w:r>
      <w:r w:rsidRPr="005A1A34">
        <w:rPr>
          <w:rFonts w:cs="標楷體" w:hint="eastAsia"/>
          <w:szCs w:val="28"/>
          <w:lang w:val="zh-TW"/>
        </w:rPr>
        <w:t>於</w:t>
      </w:r>
      <w:r w:rsidRPr="005A1A34">
        <w:rPr>
          <w:rFonts w:cs="標楷體"/>
          <w:szCs w:val="28"/>
          <w:lang w:val="zh-TW"/>
        </w:rPr>
        <w:t>93</w:t>
      </w:r>
      <w:r w:rsidRPr="005A1A34">
        <w:rPr>
          <w:rFonts w:cs="標楷體" w:hint="eastAsia"/>
          <w:szCs w:val="28"/>
          <w:lang w:val="zh-TW"/>
        </w:rPr>
        <w:t>年</w:t>
      </w:r>
      <w:r w:rsidRPr="005A1A34">
        <w:rPr>
          <w:rFonts w:cs="標楷體"/>
          <w:szCs w:val="28"/>
          <w:lang w:val="zh-TW"/>
        </w:rPr>
        <w:t>4</w:t>
      </w:r>
      <w:r w:rsidRPr="005A1A34">
        <w:rPr>
          <w:rFonts w:cs="標楷體" w:hint="eastAsia"/>
          <w:szCs w:val="28"/>
          <w:lang w:val="zh-TW"/>
        </w:rPr>
        <w:t>月</w:t>
      </w:r>
      <w:r w:rsidRPr="005A1A34">
        <w:rPr>
          <w:rFonts w:cs="標楷體"/>
          <w:szCs w:val="28"/>
          <w:lang w:val="zh-TW"/>
        </w:rPr>
        <w:t>28</w:t>
      </w:r>
      <w:r w:rsidRPr="005A1A34">
        <w:rPr>
          <w:rFonts w:cs="標楷體" w:hint="eastAsia"/>
          <w:szCs w:val="28"/>
          <w:lang w:val="zh-TW"/>
        </w:rPr>
        <w:t>日將醫療法第</w:t>
      </w:r>
      <w:r w:rsidRPr="005A1A34">
        <w:rPr>
          <w:rFonts w:cs="標楷體"/>
          <w:szCs w:val="28"/>
          <w:lang w:val="zh-TW"/>
        </w:rPr>
        <w:t>58</w:t>
      </w:r>
      <w:r w:rsidRPr="005A1A34">
        <w:rPr>
          <w:rFonts w:cs="標楷體" w:hint="eastAsia"/>
          <w:szCs w:val="28"/>
          <w:lang w:val="zh-TW"/>
        </w:rPr>
        <w:t>條修正成第</w:t>
      </w:r>
      <w:r w:rsidRPr="005A1A34">
        <w:rPr>
          <w:rFonts w:cs="標楷體"/>
          <w:szCs w:val="28"/>
          <w:lang w:val="zh-TW"/>
        </w:rPr>
        <w:t>81</w:t>
      </w:r>
      <w:r w:rsidRPr="005A1A34">
        <w:rPr>
          <w:rFonts w:cs="標楷體" w:hint="eastAsia"/>
          <w:szCs w:val="28"/>
          <w:lang w:val="zh-TW"/>
        </w:rPr>
        <w:t>條課以醫療機構針對一般病情</w:t>
      </w:r>
      <w:r>
        <w:rPr>
          <w:rFonts w:cs="標楷體" w:hint="eastAsia"/>
          <w:szCs w:val="28"/>
          <w:lang w:val="zh-TW"/>
        </w:rPr>
        <w:t>、</w:t>
      </w:r>
      <w:r w:rsidRPr="005A1A34">
        <w:rPr>
          <w:rFonts w:cs="標楷體" w:hint="eastAsia"/>
          <w:szCs w:val="28"/>
          <w:lang w:val="zh-TW"/>
        </w:rPr>
        <w:t>治療之告知義務，</w:t>
      </w:r>
      <w:r>
        <w:rPr>
          <w:rFonts w:cs="標楷體" w:hint="eastAsia"/>
          <w:szCs w:val="28"/>
          <w:lang w:val="zh-TW"/>
        </w:rPr>
        <w:t>法院</w:t>
      </w:r>
      <w:r w:rsidRPr="005A1A34">
        <w:rPr>
          <w:rFonts w:cs="標楷體" w:hint="eastAsia"/>
          <w:szCs w:val="28"/>
          <w:lang w:val="zh-TW"/>
        </w:rPr>
        <w:t>實務為緩和病患在醫療糾紛中之舉證責任負擔，最高法院</w:t>
      </w:r>
      <w:r w:rsidRPr="005A1A34">
        <w:rPr>
          <w:rFonts w:cs="標楷體"/>
          <w:szCs w:val="28"/>
          <w:lang w:val="zh-TW"/>
        </w:rPr>
        <w:t>86</w:t>
      </w:r>
      <w:r w:rsidRPr="005A1A34">
        <w:rPr>
          <w:rFonts w:cs="標楷體" w:hint="eastAsia"/>
          <w:szCs w:val="28"/>
          <w:lang w:val="zh-TW"/>
        </w:rPr>
        <w:t>年度台上字第</w:t>
      </w:r>
      <w:r w:rsidRPr="005A1A34">
        <w:rPr>
          <w:rFonts w:cs="標楷體"/>
          <w:szCs w:val="28"/>
          <w:lang w:val="zh-TW"/>
        </w:rPr>
        <w:t>56</w:t>
      </w:r>
      <w:r w:rsidRPr="005A1A34">
        <w:rPr>
          <w:rFonts w:cs="標楷體" w:hint="eastAsia"/>
          <w:szCs w:val="28"/>
          <w:lang w:val="zh-TW"/>
        </w:rPr>
        <w:t>號未經病患同意之人工流產手術案件中，首次引援醫師違反醫療法</w:t>
      </w:r>
      <w:r>
        <w:rPr>
          <w:rFonts w:cs="標楷體" w:hint="eastAsia"/>
          <w:szCs w:val="28"/>
          <w:lang w:val="zh-TW"/>
        </w:rPr>
        <w:t>中告知義務</w:t>
      </w:r>
      <w:r w:rsidRPr="005A1A34">
        <w:rPr>
          <w:rFonts w:cs="標楷體" w:hint="eastAsia"/>
          <w:szCs w:val="28"/>
          <w:lang w:val="zh-TW"/>
        </w:rPr>
        <w:t>之規定，認為應適用民法第</w:t>
      </w:r>
      <w:r w:rsidRPr="005A1A34">
        <w:rPr>
          <w:rFonts w:cs="新細明體"/>
          <w:szCs w:val="28"/>
          <w:lang w:val="zh-TW"/>
        </w:rPr>
        <w:t>184</w:t>
      </w:r>
      <w:r w:rsidRPr="005A1A34">
        <w:rPr>
          <w:rFonts w:cs="標楷體" w:hint="eastAsia"/>
          <w:szCs w:val="28"/>
          <w:lang w:val="zh-TW"/>
        </w:rPr>
        <w:t>條第</w:t>
      </w:r>
      <w:r w:rsidRPr="005A1A34">
        <w:rPr>
          <w:rFonts w:cs="新細明體"/>
          <w:szCs w:val="28"/>
          <w:lang w:val="zh-TW"/>
        </w:rPr>
        <w:t>2</w:t>
      </w:r>
      <w:r w:rsidRPr="005A1A34">
        <w:rPr>
          <w:rFonts w:cs="標楷體" w:hint="eastAsia"/>
          <w:szCs w:val="28"/>
          <w:lang w:val="zh-TW"/>
        </w:rPr>
        <w:t>項違反保護他人之法律，在舉證責任上先直接推定醫師有過失，</w:t>
      </w:r>
      <w:r>
        <w:rPr>
          <w:rFonts w:cs="標楷體" w:hint="eastAsia"/>
          <w:szCs w:val="28"/>
          <w:lang w:val="zh-TW"/>
        </w:rPr>
        <w:t>由醫師舉證其醫療行為並無過失，本案從法律效果而言應係採取此看法，但未見其詳述推論過程</w:t>
      </w:r>
      <w:r w:rsidRPr="005A1A34">
        <w:rPr>
          <w:rFonts w:cs="標楷體" w:hint="eastAsia"/>
          <w:szCs w:val="28"/>
          <w:lang w:val="zh-TW"/>
        </w:rPr>
        <w:t>。</w:t>
      </w:r>
      <w:r>
        <w:rPr>
          <w:rFonts w:cs="標楷體" w:hint="eastAsia"/>
          <w:szCs w:val="28"/>
          <w:lang w:val="zh-TW"/>
        </w:rPr>
        <w:t>然</w:t>
      </w:r>
      <w:r w:rsidRPr="005A1A34">
        <w:rPr>
          <w:rFonts w:cs="標楷體" w:hint="eastAsia"/>
          <w:szCs w:val="28"/>
          <w:lang w:val="zh-TW"/>
        </w:rPr>
        <w:t>深究民法第</w:t>
      </w:r>
      <w:r w:rsidRPr="005A1A34">
        <w:rPr>
          <w:rFonts w:cs="標楷體"/>
          <w:szCs w:val="28"/>
          <w:lang w:val="zh-TW"/>
        </w:rPr>
        <w:t>184</w:t>
      </w:r>
      <w:r w:rsidRPr="005A1A34">
        <w:rPr>
          <w:rFonts w:cs="標楷體" w:hint="eastAsia"/>
          <w:szCs w:val="28"/>
          <w:lang w:val="zh-TW"/>
        </w:rPr>
        <w:t>條第</w:t>
      </w:r>
      <w:r w:rsidRPr="005A1A34">
        <w:rPr>
          <w:rFonts w:cs="標楷體"/>
          <w:szCs w:val="28"/>
          <w:lang w:val="zh-TW"/>
        </w:rPr>
        <w:t>2</w:t>
      </w:r>
      <w:r w:rsidRPr="005A1A34">
        <w:rPr>
          <w:rFonts w:cs="標楷體" w:hint="eastAsia"/>
          <w:szCs w:val="28"/>
          <w:lang w:val="zh-TW"/>
        </w:rPr>
        <w:t>項之侵權行為賠償請求權要件，雖上開法律規範目的均在保護患者就醫時，能獲取醫師說明所傳遞之醫療資訊，並非單純保護一般大眾（只針對就診之患者或是在面臨手術或侵入性檢查之患者），具有個別保護之性質，亦即係在保護個人或單一特定之人範圍內，符合「保護他人之法律」概念，然在法律保護人的範圍，在上開法律中受保護應說明之對象除患者以外，往往尚包括法定代理人配偶、親屬及關係人，但是否上開法條應說明之人均得為請求權人，實則不然，從依醫師法第</w:t>
      </w:r>
      <w:r w:rsidRPr="005A1A34">
        <w:rPr>
          <w:rFonts w:cs="標楷體"/>
          <w:szCs w:val="28"/>
          <w:lang w:val="zh-TW"/>
        </w:rPr>
        <w:t>12</w:t>
      </w:r>
      <w:r w:rsidRPr="005A1A34">
        <w:rPr>
          <w:rFonts w:cs="標楷體" w:hint="eastAsia"/>
          <w:szCs w:val="28"/>
          <w:lang w:val="zh-TW"/>
        </w:rPr>
        <w:t>條之</w:t>
      </w:r>
      <w:r w:rsidRPr="005A1A34">
        <w:rPr>
          <w:rFonts w:cs="標楷體"/>
          <w:szCs w:val="28"/>
          <w:lang w:val="zh-TW"/>
        </w:rPr>
        <w:t>1</w:t>
      </w:r>
      <w:r w:rsidRPr="005A1A34">
        <w:rPr>
          <w:rFonts w:cs="標楷體" w:hint="eastAsia"/>
          <w:szCs w:val="28"/>
          <w:lang w:val="zh-TW"/>
        </w:rPr>
        <w:t>立法理由即清楚表明該條乃係為保護病人之知的權益，並非保護人家屬之參與權或知情權，因此，對於說明義務之違反請求權人應限於患者</w:t>
      </w:r>
      <w:r>
        <w:rPr>
          <w:rFonts w:cs="標楷體" w:hint="eastAsia"/>
          <w:szCs w:val="28"/>
          <w:lang w:val="zh-TW"/>
        </w:rPr>
        <w:t>，但在</w:t>
      </w:r>
      <w:r>
        <w:rPr>
          <w:rFonts w:cs="標楷體"/>
          <w:szCs w:val="28"/>
          <w:lang w:val="zh-TW"/>
        </w:rPr>
        <w:t>Cytotec</w:t>
      </w:r>
      <w:r>
        <w:rPr>
          <w:rFonts w:cs="標楷體" w:hint="eastAsia"/>
          <w:szCs w:val="28"/>
          <w:lang w:val="zh-TW"/>
        </w:rPr>
        <w:t>案中患者係原告之母親，原告能否作為違反說明義務之請求權主體已非無疑</w:t>
      </w:r>
      <w:r w:rsidRPr="005A1A34">
        <w:rPr>
          <w:rFonts w:cs="標楷體" w:hint="eastAsia"/>
          <w:szCs w:val="28"/>
          <w:lang w:val="zh-TW"/>
        </w:rPr>
        <w:t>。另外</w:t>
      </w:r>
      <w:r>
        <w:rPr>
          <w:rFonts w:cs="標楷體" w:hint="eastAsia"/>
          <w:szCs w:val="28"/>
          <w:lang w:val="zh-TW"/>
        </w:rPr>
        <w:t>，</w:t>
      </w:r>
      <w:r w:rsidRPr="005A1A34">
        <w:rPr>
          <w:rFonts w:cs="標楷體" w:hint="eastAsia"/>
          <w:szCs w:val="28"/>
          <w:lang w:val="zh-TW"/>
        </w:rPr>
        <w:t>對於受侵害之客體為法律保護範圍之要件，在上開法條規定應說明之內容僅病情、治療方針、處置、用藥、預後情形及可能之不良反應或手術原因、成功率、可能發生之併發症及危險，替代性治療之風險，</w:t>
      </w:r>
      <w:r>
        <w:rPr>
          <w:rFonts w:cs="標楷體" w:hint="eastAsia"/>
          <w:szCs w:val="28"/>
          <w:lang w:val="zh-TW"/>
        </w:rPr>
        <w:t>並</w:t>
      </w:r>
      <w:r w:rsidRPr="005A1A34">
        <w:rPr>
          <w:rFonts w:cs="標楷體" w:hint="eastAsia"/>
          <w:szCs w:val="28"/>
          <w:lang w:val="zh-TW"/>
        </w:rPr>
        <w:t>非屬於醫師應說明之內容，縱醫師未為說明，則此等說明既非在法律保護範圍，即無從依民法第</w:t>
      </w:r>
      <w:r w:rsidRPr="005A1A34">
        <w:rPr>
          <w:rFonts w:cs="標楷體"/>
          <w:szCs w:val="28"/>
          <w:lang w:val="zh-TW"/>
        </w:rPr>
        <w:t>184</w:t>
      </w:r>
      <w:r w:rsidRPr="005A1A34">
        <w:rPr>
          <w:rFonts w:cs="標楷體" w:hint="eastAsia"/>
          <w:szCs w:val="28"/>
          <w:lang w:val="zh-TW"/>
        </w:rPr>
        <w:t>條第</w:t>
      </w:r>
      <w:r w:rsidRPr="005A1A34">
        <w:rPr>
          <w:rFonts w:cs="標楷體"/>
          <w:szCs w:val="28"/>
          <w:lang w:val="zh-TW"/>
        </w:rPr>
        <w:t>2</w:t>
      </w:r>
      <w:r w:rsidRPr="005A1A34">
        <w:rPr>
          <w:rFonts w:cs="標楷體" w:hint="eastAsia"/>
          <w:szCs w:val="28"/>
          <w:lang w:val="zh-TW"/>
        </w:rPr>
        <w:t>項請求損害賠償。</w:t>
      </w:r>
      <w:r>
        <w:rPr>
          <w:rFonts w:cs="標楷體" w:hint="eastAsia"/>
          <w:szCs w:val="28"/>
          <w:lang w:val="zh-TW"/>
        </w:rPr>
        <w:t>故本案法院認為署核藥物之替代性治療未予說明，亦非得依民法第</w:t>
      </w:r>
      <w:r>
        <w:rPr>
          <w:rFonts w:cs="標楷體"/>
          <w:szCs w:val="28"/>
          <w:lang w:val="zh-TW"/>
        </w:rPr>
        <w:t>184</w:t>
      </w:r>
      <w:r>
        <w:rPr>
          <w:rFonts w:cs="標楷體" w:hint="eastAsia"/>
          <w:szCs w:val="28"/>
          <w:lang w:val="zh-TW"/>
        </w:rPr>
        <w:t>條第</w:t>
      </w:r>
      <w:r>
        <w:rPr>
          <w:rFonts w:cs="標楷體"/>
          <w:szCs w:val="28"/>
          <w:lang w:val="zh-TW"/>
        </w:rPr>
        <w:t>2</w:t>
      </w:r>
      <w:r>
        <w:rPr>
          <w:rFonts w:cs="標楷體" w:hint="eastAsia"/>
          <w:szCs w:val="28"/>
          <w:lang w:val="zh-TW"/>
        </w:rPr>
        <w:t>項請求侵權行為損害賠償</w:t>
      </w:r>
      <w:r>
        <w:rPr>
          <w:rStyle w:val="ac"/>
          <w:rFonts w:cs="標楷體"/>
          <w:szCs w:val="28"/>
          <w:lang w:val="zh-TW"/>
        </w:rPr>
        <w:footnoteReference w:id="107"/>
      </w:r>
      <w:r>
        <w:rPr>
          <w:rFonts w:cs="標楷體" w:hint="eastAsia"/>
          <w:szCs w:val="28"/>
          <w:lang w:val="zh-TW"/>
        </w:rPr>
        <w:t>。綜合上開分析，法院以違反醫療契約之說明義務而導出具有侵權行為之過失結論，欠缺說理上之論據。</w:t>
      </w:r>
      <w:r w:rsidRPr="005A1A34">
        <w:rPr>
          <w:rFonts w:cs="標楷體"/>
          <w:szCs w:val="28"/>
          <w:lang w:val="zh-TW"/>
        </w:rPr>
        <w:t xml:space="preserve"> </w:t>
      </w:r>
    </w:p>
    <w:p w:rsidR="00DB326D"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2</w:t>
      </w:r>
      <w:r>
        <w:rPr>
          <w:rFonts w:hint="eastAsia"/>
          <w:szCs w:val="28"/>
        </w:rPr>
        <w:t>、就次嚴格及較寬鬆之管制而言</w:t>
      </w:r>
    </w:p>
    <w:p w:rsidR="00DB326D" w:rsidRPr="00EB70ED"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rFonts w:hint="eastAsia"/>
          <w:szCs w:val="28"/>
        </w:rPr>
        <w:t>（</w:t>
      </w:r>
      <w:r>
        <w:rPr>
          <w:szCs w:val="28"/>
        </w:rPr>
        <w:t>1</w:t>
      </w:r>
      <w:r>
        <w:rPr>
          <w:rFonts w:hint="eastAsia"/>
          <w:szCs w:val="28"/>
        </w:rPr>
        <w:t>）支持仿單外使用之醫學上強度與告知後同意原則之關係</w:t>
      </w:r>
    </w:p>
    <w:p w:rsidR="00DB326D" w:rsidRDefault="00DB326D" w:rsidP="00DB326D">
      <w:pPr>
        <w:widowControl/>
        <w:spacing w:before="100" w:beforeAutospacing="1" w:after="100" w:afterAutospacing="1"/>
        <w:rPr>
          <w:szCs w:val="28"/>
        </w:rPr>
      </w:pPr>
      <w:r>
        <w:rPr>
          <w:szCs w:val="28"/>
        </w:rPr>
        <w:t xml:space="preserve">    </w:t>
      </w:r>
      <w:r>
        <w:rPr>
          <w:rFonts w:hint="eastAsia"/>
          <w:szCs w:val="28"/>
        </w:rPr>
        <w:t>仿單外使用的醫學基礎強弱影響適用告知後同意原則，基礎愈強等同於標準治療與一般用藥安全說明無異，該仿單外用藥本身是否須取得同意應無必要，至於說明的範圍是否應包括該用藥為仿單外使用及尚有署核之替代性治療藥物，除基於經濟上考量（例如健保局可能不給付）認為有必要，說明義務是設計用來確保患者擁有足夠資訊去評估他們治療的選擇，在藥物安全性與有效性有信、效度極高的科學或醫學文獻支持，又為一般醫師可接受之用藥模式，甚至成為醫學學會之用藥指引時，以理性醫師或以一理性患者之標準，此時署核與否並非藥物安</w:t>
      </w:r>
      <w:r>
        <w:rPr>
          <w:rFonts w:hint="eastAsia"/>
          <w:szCs w:val="28"/>
        </w:rPr>
        <w:lastRenderedPageBreak/>
        <w:t>全性與有效性之保證，亦非醫療決策中所需之資訊，用藥是否屬於仿單核准適應症，或是否有署核藥物，應可認無須加以說明，亦即應等同於仿單標示內使用看待，但對於一般服用藥物不良反應之副作用、處理措施等安全說明義務及特別在無藥害救濟適用之經濟上風險應加以說明。</w:t>
      </w:r>
    </w:p>
    <w:p w:rsidR="00DB326D" w:rsidRDefault="00DB326D" w:rsidP="00DB326D">
      <w:pPr>
        <w:widowControl/>
        <w:spacing w:before="100" w:beforeAutospacing="1" w:after="100" w:afterAutospacing="1"/>
        <w:rPr>
          <w:rFonts w:eastAsia="MS Mincho"/>
          <w:szCs w:val="28"/>
        </w:rPr>
      </w:pPr>
      <w:r>
        <w:rPr>
          <w:szCs w:val="28"/>
        </w:rPr>
        <w:t xml:space="preserve">    </w:t>
      </w:r>
      <w:r>
        <w:rPr>
          <w:rFonts w:hint="eastAsia"/>
          <w:szCs w:val="28"/>
        </w:rPr>
        <w:t>若科學或醫療文獻支持之基礎並未達到等同於普遍性之治療，則此時除一般用藥之安全說明，一般是副作用及預防措施、副作用發生如何降低傷害外，由於該用藥之安全性與有效性醫界尚未達成普遍性的認同，反而是仿單外使用所憑之醫療文獻或醫學實證方是說明義務內容之重點，可能個別患者有不同風險考量，該仿單外用藥即需取得患者自冒風險之同意，方得將用藥風險轉嫁於患者身上，至於說明的範圍是否應包括該用藥為仿單外使用及尚有替代性治療，基於該仿單外使用之安全性與有效性與用藥當時普遍之使用藥物可能具有落差，因此對於患者用藥選擇性具有意義，為確保患者自主決定權認為應須說明，但對於事後藥物之副作用無藥害救濟適用之經濟上風險應可加以說明與一般用藥說明無異。故上開法院判決見解分歧，應從仿單外使用的支持基礎去分析是否應取得患者同意及說明義務之內容。</w:t>
      </w:r>
    </w:p>
    <w:p w:rsidR="00DB326D" w:rsidRDefault="00DB326D" w:rsidP="00DB326D">
      <w:pPr>
        <w:widowControl/>
        <w:spacing w:before="100" w:beforeAutospacing="1" w:after="100" w:afterAutospacing="1"/>
        <w:ind w:leftChars="-177" w:hangingChars="177" w:hanging="425"/>
        <w:rPr>
          <w:szCs w:val="28"/>
        </w:rPr>
      </w:pPr>
      <w:r>
        <w:rPr>
          <w:szCs w:val="28"/>
        </w:rPr>
        <w:t xml:space="preserve">   </w:t>
      </w:r>
      <w:r>
        <w:rPr>
          <w:rFonts w:hint="eastAsia"/>
          <w:szCs w:val="28"/>
        </w:rPr>
        <w:t>（</w:t>
      </w:r>
      <w:r>
        <w:rPr>
          <w:szCs w:val="28"/>
        </w:rPr>
        <w:t>2</w:t>
      </w:r>
      <w:r>
        <w:rPr>
          <w:rFonts w:hint="eastAsia"/>
          <w:szCs w:val="28"/>
        </w:rPr>
        <w:t>）仿單外使用說明義務的法律基礎與違反後法律效果</w:t>
      </w:r>
    </w:p>
    <w:p w:rsidR="00DB326D" w:rsidRPr="00846DAC" w:rsidRDefault="00DB326D" w:rsidP="00DB326D">
      <w:pPr>
        <w:autoSpaceDE w:val="0"/>
        <w:autoSpaceDN w:val="0"/>
        <w:adjustRightInd w:val="0"/>
        <w:spacing w:line="240" w:lineRule="atLeast"/>
        <w:ind w:firstLine="600"/>
        <w:rPr>
          <w:rFonts w:cs="標楷體"/>
          <w:bCs/>
          <w:szCs w:val="32"/>
          <w:lang w:val="zh-TW"/>
        </w:rPr>
      </w:pPr>
      <w:r w:rsidRPr="00846DAC">
        <w:rPr>
          <w:rFonts w:hint="eastAsia"/>
          <w:szCs w:val="28"/>
        </w:rPr>
        <w:t>法院均以醫療法與醫師法</w:t>
      </w:r>
      <w:r>
        <w:rPr>
          <w:rFonts w:hint="eastAsia"/>
          <w:szCs w:val="28"/>
        </w:rPr>
        <w:t>之規定</w:t>
      </w:r>
      <w:r w:rsidRPr="00846DAC">
        <w:rPr>
          <w:rFonts w:hint="eastAsia"/>
          <w:szCs w:val="28"/>
        </w:rPr>
        <w:t>作為建構仿單外使用之說明義務法理基</w:t>
      </w:r>
      <w:r>
        <w:rPr>
          <w:szCs w:val="28"/>
        </w:rPr>
        <w:t xml:space="preserve">  </w:t>
      </w:r>
      <w:r w:rsidRPr="00846DAC">
        <w:rPr>
          <w:rFonts w:hint="eastAsia"/>
          <w:szCs w:val="28"/>
        </w:rPr>
        <w:t>礎</w:t>
      </w:r>
      <w:r>
        <w:rPr>
          <w:rFonts w:hint="eastAsia"/>
          <w:szCs w:val="28"/>
        </w:rPr>
        <w:t>，並</w:t>
      </w:r>
      <w:r w:rsidRPr="00846DAC">
        <w:rPr>
          <w:rFonts w:cs="標楷體" w:hint="eastAsia"/>
          <w:szCs w:val="28"/>
          <w:lang w:val="zh-TW"/>
        </w:rPr>
        <w:t>將醫師之說明作為有效取得患者同意從事侵入性醫療行為之前提，亦即將醫師之說明義務與患者之身體權不可侵犯性相結合，若違反醫師說明義務，均係以侵權行為損害賠償請求權作為請求權基礎。然而雖均係從侵權行為角度出發，但究竟係根據民法第</w:t>
      </w:r>
      <w:r w:rsidRPr="00846DAC">
        <w:rPr>
          <w:rFonts w:cs="標楷體"/>
          <w:szCs w:val="28"/>
          <w:lang w:val="zh-TW"/>
        </w:rPr>
        <w:t>184</w:t>
      </w:r>
      <w:r w:rsidRPr="00846DAC">
        <w:rPr>
          <w:rFonts w:cs="標楷體" w:hint="eastAsia"/>
          <w:szCs w:val="28"/>
          <w:lang w:val="zh-TW"/>
        </w:rPr>
        <w:t>條第</w:t>
      </w:r>
      <w:r w:rsidRPr="00846DAC">
        <w:rPr>
          <w:rFonts w:cs="標楷體"/>
          <w:szCs w:val="28"/>
          <w:lang w:val="zh-TW"/>
        </w:rPr>
        <w:t>1</w:t>
      </w:r>
      <w:r w:rsidRPr="00846DAC">
        <w:rPr>
          <w:rFonts w:cs="標楷體" w:hint="eastAsia"/>
          <w:szCs w:val="28"/>
          <w:lang w:val="zh-TW"/>
        </w:rPr>
        <w:t>項或係依據民法第</w:t>
      </w:r>
      <w:r w:rsidRPr="00846DAC">
        <w:rPr>
          <w:rFonts w:cs="標楷體"/>
          <w:szCs w:val="28"/>
          <w:lang w:val="zh-TW"/>
        </w:rPr>
        <w:t>184</w:t>
      </w:r>
      <w:r w:rsidRPr="00846DAC">
        <w:rPr>
          <w:rFonts w:cs="標楷體" w:hint="eastAsia"/>
          <w:szCs w:val="28"/>
          <w:lang w:val="zh-TW"/>
        </w:rPr>
        <w:t>條第</w:t>
      </w:r>
      <w:r w:rsidRPr="00846DAC">
        <w:rPr>
          <w:rFonts w:cs="標楷體"/>
          <w:szCs w:val="28"/>
          <w:lang w:val="zh-TW"/>
        </w:rPr>
        <w:t>2</w:t>
      </w:r>
      <w:r w:rsidRPr="00846DAC">
        <w:rPr>
          <w:rFonts w:cs="標楷體" w:hint="eastAsia"/>
          <w:szCs w:val="28"/>
          <w:lang w:val="zh-TW"/>
        </w:rPr>
        <w:t>項規定之損害賠償請求權作為請求權之基礎，除有對於保護之權利客體究為身體權或人格權之差異外，醫生說明義務是否獨立為一種侵權行為之注意義務亦有所不同。</w:t>
      </w:r>
      <w:r>
        <w:rPr>
          <w:rFonts w:cs="標楷體" w:hint="eastAsia"/>
          <w:szCs w:val="28"/>
          <w:lang w:val="zh-TW"/>
        </w:rPr>
        <w:t>至於如同上開最嚴格管制之法院見解，</w:t>
      </w:r>
      <w:r w:rsidRPr="00846DAC">
        <w:rPr>
          <w:rFonts w:cs="標楷體" w:hint="eastAsia"/>
          <w:szCs w:val="28"/>
          <w:lang w:val="zh-TW"/>
        </w:rPr>
        <w:t>在承認患者與醫師間存在醫療契約之前提下，從醫療契約之給付義務，可以尋找出醫師說明義務不同之法理基礎，</w:t>
      </w:r>
      <w:r>
        <w:rPr>
          <w:rFonts w:cs="標楷體" w:hint="eastAsia"/>
          <w:szCs w:val="28"/>
          <w:lang w:val="zh-TW"/>
        </w:rPr>
        <w:t>均導致醫師在違反仿單外使用之說明義務產生不同法律效果。</w:t>
      </w:r>
    </w:p>
    <w:p w:rsidR="00DB326D" w:rsidRPr="00846DAC" w:rsidRDefault="00DB326D" w:rsidP="00DB326D">
      <w:pPr>
        <w:autoSpaceDE w:val="0"/>
        <w:autoSpaceDN w:val="0"/>
        <w:adjustRightInd w:val="0"/>
        <w:spacing w:line="240" w:lineRule="atLeast"/>
        <w:rPr>
          <w:rFonts w:cs="標楷體"/>
          <w:bCs/>
          <w:szCs w:val="28"/>
          <w:lang w:val="zh-TW"/>
        </w:rPr>
      </w:pPr>
      <w:r w:rsidRPr="00846DAC">
        <w:rPr>
          <w:rFonts w:cs="標楷體"/>
          <w:szCs w:val="28"/>
          <w:lang w:val="zh-TW"/>
        </w:rPr>
        <w:t xml:space="preserve"> </w:t>
      </w:r>
      <w:r w:rsidRPr="00846DAC">
        <w:rPr>
          <w:rFonts w:cs="標楷體"/>
          <w:bCs/>
          <w:szCs w:val="28"/>
          <w:lang w:val="zh-TW"/>
        </w:rPr>
        <w:t>1</w:t>
      </w:r>
      <w:r w:rsidRPr="00846DAC">
        <w:rPr>
          <w:rFonts w:cs="標楷體" w:hint="eastAsia"/>
          <w:bCs/>
          <w:szCs w:val="28"/>
          <w:lang w:val="zh-TW"/>
        </w:rPr>
        <w:t>、以身體權作為保護權利客體之醫師</w:t>
      </w:r>
      <w:r>
        <w:rPr>
          <w:rFonts w:cs="標楷體" w:hint="eastAsia"/>
          <w:bCs/>
          <w:szCs w:val="28"/>
          <w:lang w:val="zh-TW"/>
        </w:rPr>
        <w:t>仿單外使用</w:t>
      </w:r>
      <w:r w:rsidRPr="00846DAC">
        <w:rPr>
          <w:rFonts w:cs="標楷體" w:hint="eastAsia"/>
          <w:bCs/>
          <w:szCs w:val="28"/>
          <w:lang w:val="zh-TW"/>
        </w:rPr>
        <w:t>說明</w:t>
      </w:r>
      <w:r>
        <w:rPr>
          <w:rFonts w:cs="標楷體" w:hint="eastAsia"/>
          <w:bCs/>
          <w:szCs w:val="28"/>
          <w:lang w:val="zh-TW"/>
        </w:rPr>
        <w:t>及違反法律效果</w:t>
      </w:r>
    </w:p>
    <w:p w:rsidR="00DB326D" w:rsidRPr="00846DAC" w:rsidRDefault="00DB326D" w:rsidP="00DB326D">
      <w:pPr>
        <w:autoSpaceDE w:val="0"/>
        <w:autoSpaceDN w:val="0"/>
        <w:adjustRightInd w:val="0"/>
        <w:spacing w:line="240" w:lineRule="atLeast"/>
        <w:rPr>
          <w:rFonts w:cs="細明體"/>
          <w:kern w:val="0"/>
          <w:szCs w:val="28"/>
          <w:lang w:val="zh-TW"/>
        </w:rPr>
      </w:pPr>
      <w:r w:rsidRPr="00846DAC">
        <w:rPr>
          <w:rFonts w:cs="標楷體"/>
          <w:bCs/>
          <w:szCs w:val="28"/>
          <w:lang w:val="zh-TW"/>
        </w:rPr>
        <w:t xml:space="preserve">    </w:t>
      </w:r>
      <w:r w:rsidRPr="00846DAC">
        <w:rPr>
          <w:rFonts w:cs="標楷體" w:hint="eastAsia"/>
          <w:kern w:val="0"/>
          <w:szCs w:val="28"/>
          <w:lang w:val="zh-TW"/>
        </w:rPr>
        <w:t>基於保護患者之身體權，侵入性醫療行為合法之前提，乃取得患者同意，而為取得患者有效之同意，須讓患者明瞭所同意對象（即醫療行為）之內容及效果，於是由具有高度醫學知識之醫師就預定採取之醫療方針、醫療風險向患者說明，使其充分瞭解而作出決定。此醫師說明乃建構在對於患者身體權有所侵害而須取得患者同意來阻卻違法的前提下，並非獨立之作為義務，而僅係阻卻侵入性醫療行為不法之前提要件，故若醫師應說明而未說明或未為充足之說明，僅能迂迴透過未取得患者有效同意，而受有身體權之損害請求損害賠償。在</w:t>
      </w:r>
      <w:r>
        <w:rPr>
          <w:rFonts w:cs="標楷體" w:hint="eastAsia"/>
          <w:kern w:val="0"/>
          <w:szCs w:val="28"/>
          <w:lang w:val="zh-TW"/>
        </w:rPr>
        <w:t>仿單外使用之用藥，部分法院認為醫師之用藥行為是否為侵襲性醫療行為是有爭議，因此在不承認醫師用藥是有侵害患者身體性的情形，則仿單外使用之說明義務與患者同意無</w:t>
      </w:r>
      <w:r>
        <w:rPr>
          <w:rFonts w:cs="標楷體" w:hint="eastAsia"/>
          <w:kern w:val="0"/>
          <w:szCs w:val="28"/>
          <w:lang w:val="zh-TW"/>
        </w:rPr>
        <w:lastRenderedPageBreak/>
        <w:t>涉，亦無所謂阻卻違法之效果，縱使違反說明義務，亦與是否違反過失之注意義務無關，因此</w:t>
      </w:r>
      <w:r w:rsidRPr="00846DAC">
        <w:rPr>
          <w:rFonts w:cs="標楷體" w:hint="eastAsia"/>
          <w:kern w:val="0"/>
          <w:szCs w:val="28"/>
          <w:lang w:val="zh-TW"/>
        </w:rPr>
        <w:t>從保護身體權不可侵犯之角度出發，若</w:t>
      </w:r>
      <w:r>
        <w:rPr>
          <w:rFonts w:cs="標楷體" w:hint="eastAsia"/>
          <w:kern w:val="0"/>
          <w:szCs w:val="28"/>
          <w:lang w:val="zh-TW"/>
        </w:rPr>
        <w:t>用藥之</w:t>
      </w:r>
      <w:r w:rsidRPr="00846DAC">
        <w:rPr>
          <w:rFonts w:cs="標楷體" w:hint="eastAsia"/>
          <w:kern w:val="0"/>
          <w:szCs w:val="28"/>
          <w:lang w:val="zh-TW"/>
        </w:rPr>
        <w:t>醫療行為並非侵害身體權時，即無法導出醫生有何說明之依據。</w:t>
      </w:r>
      <w:r w:rsidRPr="00846DAC">
        <w:rPr>
          <w:rFonts w:cs="細明體"/>
          <w:kern w:val="0"/>
          <w:szCs w:val="28"/>
          <w:lang w:val="zh-TW"/>
        </w:rPr>
        <w:t xml:space="preserve">   </w:t>
      </w:r>
    </w:p>
    <w:p w:rsidR="00DB326D" w:rsidRPr="00846DAC" w:rsidRDefault="00DB326D" w:rsidP="00DB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rPr>
          <w:rFonts w:cs="標楷體"/>
          <w:bCs/>
          <w:kern w:val="0"/>
          <w:szCs w:val="28"/>
          <w:lang w:val="zh-TW"/>
        </w:rPr>
      </w:pPr>
      <w:r w:rsidRPr="00846DAC">
        <w:rPr>
          <w:rFonts w:cs="細明體"/>
          <w:kern w:val="0"/>
          <w:szCs w:val="28"/>
          <w:lang w:val="zh-TW"/>
        </w:rPr>
        <w:t xml:space="preserve">    </w:t>
      </w:r>
      <w:r w:rsidRPr="00846DAC">
        <w:rPr>
          <w:rFonts w:cs="標楷體"/>
          <w:bCs/>
          <w:kern w:val="0"/>
          <w:szCs w:val="28"/>
          <w:lang w:val="zh-TW"/>
        </w:rPr>
        <w:t>2</w:t>
      </w:r>
      <w:r w:rsidRPr="00846DAC">
        <w:rPr>
          <w:rFonts w:cs="標楷體" w:hint="eastAsia"/>
          <w:bCs/>
          <w:kern w:val="0"/>
          <w:szCs w:val="28"/>
          <w:lang w:val="zh-TW"/>
        </w:rPr>
        <w:t>、以病人自主決定權作為保護客體之</w:t>
      </w:r>
      <w:r>
        <w:rPr>
          <w:rFonts w:cs="標楷體" w:hint="eastAsia"/>
          <w:bCs/>
          <w:kern w:val="0"/>
          <w:szCs w:val="28"/>
          <w:lang w:val="zh-TW"/>
        </w:rPr>
        <w:t>仿單外使用</w:t>
      </w:r>
      <w:r w:rsidRPr="00846DAC">
        <w:rPr>
          <w:rFonts w:cs="標楷體" w:hint="eastAsia"/>
          <w:bCs/>
          <w:kern w:val="0"/>
          <w:szCs w:val="28"/>
          <w:lang w:val="zh-TW"/>
        </w:rPr>
        <w:t>說明</w:t>
      </w:r>
      <w:r>
        <w:rPr>
          <w:rFonts w:cs="標楷體" w:hint="eastAsia"/>
          <w:bCs/>
          <w:kern w:val="0"/>
          <w:szCs w:val="28"/>
          <w:lang w:val="zh-TW"/>
        </w:rPr>
        <w:t>及違反法律效果</w:t>
      </w:r>
      <w:r w:rsidRPr="00846DAC">
        <w:rPr>
          <w:rFonts w:cs="標楷體"/>
          <w:bCs/>
          <w:kern w:val="0"/>
          <w:szCs w:val="28"/>
          <w:lang w:val="zh-TW"/>
        </w:rPr>
        <w:t xml:space="preserve">  </w:t>
      </w:r>
    </w:p>
    <w:p w:rsidR="00DB326D" w:rsidRPr="00846DAC" w:rsidRDefault="00DB326D" w:rsidP="00DB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560"/>
        <w:rPr>
          <w:rFonts w:cs="標楷體"/>
          <w:kern w:val="0"/>
          <w:szCs w:val="28"/>
          <w:lang w:val="zh-TW"/>
        </w:rPr>
      </w:pPr>
      <w:r w:rsidRPr="00846DAC">
        <w:rPr>
          <w:rFonts w:cs="標楷體" w:hint="eastAsia"/>
          <w:kern w:val="0"/>
          <w:szCs w:val="28"/>
          <w:lang w:val="zh-TW"/>
        </w:rPr>
        <w:t>病人自主決定權（</w:t>
      </w:r>
      <w:r w:rsidRPr="00846DAC">
        <w:rPr>
          <w:rFonts w:cs="標楷體"/>
          <w:kern w:val="0"/>
          <w:szCs w:val="28"/>
          <w:lang w:val="zh-TW"/>
        </w:rPr>
        <w:t>right to self-determination</w:t>
      </w:r>
      <w:r w:rsidRPr="00846DAC">
        <w:rPr>
          <w:rFonts w:cs="標楷體" w:hint="eastAsia"/>
          <w:kern w:val="0"/>
          <w:szCs w:val="28"/>
          <w:lang w:val="zh-TW"/>
        </w:rPr>
        <w:t>），強調病患對其身體有決定接受或不接受醫療處置的權利，因此，病人自主決定權權利核心概念乃在於病人的自我選擇。為提供病患作出正確決定，</w:t>
      </w:r>
      <w:r>
        <w:rPr>
          <w:rFonts w:cs="標楷體" w:hint="eastAsia"/>
          <w:kern w:val="0"/>
          <w:szCs w:val="28"/>
          <w:lang w:val="zh-TW"/>
        </w:rPr>
        <w:t>仿單外使用之</w:t>
      </w:r>
      <w:r w:rsidRPr="00846DAC">
        <w:rPr>
          <w:rFonts w:cs="標楷體" w:hint="eastAsia"/>
          <w:kern w:val="0"/>
          <w:szCs w:val="28"/>
          <w:lang w:val="zh-TW"/>
        </w:rPr>
        <w:t>相關醫療資訊自應揭露以供病患選擇，病人自我決定權並非盲目決定，為了保障此抽象之人格權，落實在法律層面即要求醫師必須提供患者在作決定前應充足說明醫療資訊，我國在醫師法或醫療法上均可見醫師說明義務之規範。在實務上最高法院首次承認病人自主決定權即為「唐氏兒事件」案</w:t>
      </w:r>
      <w:r>
        <w:rPr>
          <w:rStyle w:val="ac"/>
          <w:rFonts w:cs="標楷體"/>
          <w:kern w:val="0"/>
          <w:szCs w:val="28"/>
          <w:lang w:val="zh-TW"/>
        </w:rPr>
        <w:footnoteReference w:id="108"/>
      </w:r>
      <w:r>
        <w:rPr>
          <w:rFonts w:cs="標楷體" w:hint="eastAsia"/>
          <w:kern w:val="0"/>
          <w:szCs w:val="28"/>
          <w:lang w:val="zh-TW"/>
        </w:rPr>
        <w:t>，</w:t>
      </w:r>
      <w:r w:rsidRPr="00846DAC">
        <w:rPr>
          <w:rFonts w:cs="標楷體" w:hint="eastAsia"/>
          <w:kern w:val="0"/>
          <w:szCs w:val="28"/>
          <w:lang w:val="zh-TW"/>
        </w:rPr>
        <w:t>最高法院進而於</w:t>
      </w:r>
      <w:r>
        <w:rPr>
          <w:rFonts w:cs="標楷體" w:hint="eastAsia"/>
          <w:kern w:val="0"/>
          <w:szCs w:val="28"/>
          <w:lang w:val="zh-TW"/>
        </w:rPr>
        <w:t>心導管案</w:t>
      </w:r>
      <w:r>
        <w:rPr>
          <w:rStyle w:val="ac"/>
          <w:rFonts w:cs="標楷體"/>
          <w:kern w:val="0"/>
          <w:szCs w:val="28"/>
          <w:lang w:val="zh-TW"/>
        </w:rPr>
        <w:footnoteReference w:id="109"/>
      </w:r>
      <w:r w:rsidRPr="00846DAC">
        <w:rPr>
          <w:rFonts w:cs="標楷體" w:hint="eastAsia"/>
          <w:kern w:val="0"/>
          <w:szCs w:val="28"/>
          <w:lang w:val="zh-TW"/>
        </w:rPr>
        <w:t>直接表明醫師之說明即為保障病人之身體自主權，受此影響，</w:t>
      </w:r>
      <w:r>
        <w:rPr>
          <w:rFonts w:cs="標楷體" w:hint="eastAsia"/>
          <w:kern w:val="0"/>
          <w:szCs w:val="28"/>
          <w:lang w:val="zh-TW"/>
        </w:rPr>
        <w:t>上開法院在判決理由論述時亦均有引用</w:t>
      </w:r>
      <w:r w:rsidRPr="00846DAC">
        <w:rPr>
          <w:rFonts w:cs="標楷體" w:hint="eastAsia"/>
          <w:kern w:val="0"/>
          <w:szCs w:val="28"/>
          <w:lang w:val="zh-TW"/>
        </w:rPr>
        <w:t>病人自主決定權之概念。基於尊重病患自主決定權所產生之說明義務，係由醫師將病情及醫療行為的風險告知，由病人自行選擇是否自願承擔風險，醫師之說明係提供病患選擇之資訊而已</w:t>
      </w:r>
      <w:r>
        <w:rPr>
          <w:rFonts w:cs="標楷體" w:hint="eastAsia"/>
          <w:kern w:val="0"/>
          <w:szCs w:val="28"/>
          <w:lang w:val="zh-TW"/>
        </w:rPr>
        <w:t>，</w:t>
      </w:r>
      <w:r w:rsidRPr="00846DAC">
        <w:rPr>
          <w:rFonts w:cs="標楷體" w:hint="eastAsia"/>
          <w:kern w:val="0"/>
          <w:szCs w:val="28"/>
          <w:lang w:val="zh-TW"/>
        </w:rPr>
        <w:t>其說明內容著重在於影響患者決定是否接受醫療行為之資訊應予揭露，</w:t>
      </w:r>
      <w:r>
        <w:rPr>
          <w:rFonts w:cs="標楷體" w:hint="eastAsia"/>
          <w:kern w:val="0"/>
          <w:szCs w:val="28"/>
          <w:lang w:val="zh-TW"/>
        </w:rPr>
        <w:t>對於醫療行為風險的昇降並無影響，不構成</w:t>
      </w:r>
      <w:r w:rsidRPr="000B0067">
        <w:rPr>
          <w:rFonts w:ascii="Trebuchet MS" w:hint="eastAsia"/>
        </w:rPr>
        <w:t>過失中所謂注意義務內容，</w:t>
      </w:r>
      <w:r>
        <w:rPr>
          <w:rFonts w:ascii="Trebuchet MS" w:hint="eastAsia"/>
        </w:rPr>
        <w:t>因為注意義務</w:t>
      </w:r>
      <w:r w:rsidRPr="000B0067">
        <w:rPr>
          <w:rFonts w:ascii="Trebuchet MS" w:hint="eastAsia"/>
        </w:rPr>
        <w:t>前提是必須為避免損害發生有關之事物，若與損害發生無關，</w:t>
      </w:r>
      <w:r>
        <w:rPr>
          <w:rFonts w:ascii="Trebuchet MS" w:hint="eastAsia"/>
        </w:rPr>
        <w:t>即無</w:t>
      </w:r>
      <w:r w:rsidRPr="000B0067">
        <w:rPr>
          <w:rFonts w:ascii="Trebuchet MS" w:hint="eastAsia"/>
        </w:rPr>
        <w:t>須注意</w:t>
      </w:r>
      <w:r>
        <w:rPr>
          <w:rFonts w:cs="標楷體" w:hint="eastAsia"/>
          <w:kern w:val="0"/>
          <w:szCs w:val="28"/>
          <w:lang w:val="zh-TW"/>
        </w:rPr>
        <w:t>，亦即法院若認為仿單外使用之說明義務係本於病人自主決定權，則違反仿單外使用說明義務本身與該用藥行為是否違反注意義務致</w:t>
      </w:r>
      <w:r w:rsidRPr="00846DAC">
        <w:rPr>
          <w:rFonts w:cs="標楷體" w:hint="eastAsia"/>
          <w:kern w:val="0"/>
          <w:szCs w:val="28"/>
          <w:lang w:val="zh-TW"/>
        </w:rPr>
        <w:t>患者身體</w:t>
      </w:r>
      <w:r>
        <w:rPr>
          <w:rFonts w:cs="標楷體" w:hint="eastAsia"/>
          <w:kern w:val="0"/>
          <w:szCs w:val="28"/>
          <w:lang w:val="zh-TW"/>
        </w:rPr>
        <w:t>、生命</w:t>
      </w:r>
      <w:r w:rsidRPr="00846DAC">
        <w:rPr>
          <w:rFonts w:cs="標楷體" w:hint="eastAsia"/>
          <w:kern w:val="0"/>
          <w:szCs w:val="28"/>
          <w:lang w:val="zh-TW"/>
        </w:rPr>
        <w:t>權受侵害無涉，醫師未為</w:t>
      </w:r>
      <w:r>
        <w:rPr>
          <w:rFonts w:cs="標楷體" w:hint="eastAsia"/>
          <w:kern w:val="0"/>
          <w:szCs w:val="28"/>
          <w:lang w:val="zh-TW"/>
        </w:rPr>
        <w:t>仿單外使用</w:t>
      </w:r>
      <w:r w:rsidRPr="00846DAC">
        <w:rPr>
          <w:rFonts w:cs="標楷體" w:hint="eastAsia"/>
          <w:kern w:val="0"/>
          <w:szCs w:val="28"/>
          <w:lang w:val="zh-TW"/>
        </w:rPr>
        <w:t>說明</w:t>
      </w:r>
      <w:r>
        <w:rPr>
          <w:rFonts w:cs="標楷體" w:hint="eastAsia"/>
          <w:kern w:val="0"/>
          <w:szCs w:val="28"/>
          <w:lang w:val="zh-TW"/>
        </w:rPr>
        <w:t>僅</w:t>
      </w:r>
      <w:r w:rsidRPr="00846DAC">
        <w:rPr>
          <w:rFonts w:cs="標楷體" w:hint="eastAsia"/>
          <w:kern w:val="0"/>
          <w:szCs w:val="28"/>
          <w:lang w:val="zh-TW"/>
        </w:rPr>
        <w:t>侵害病患自主決定</w:t>
      </w:r>
      <w:r>
        <w:rPr>
          <w:rFonts w:cs="標楷體" w:hint="eastAsia"/>
          <w:kern w:val="0"/>
          <w:szCs w:val="28"/>
          <w:lang w:val="zh-TW"/>
        </w:rPr>
        <w:t>之人格</w:t>
      </w:r>
      <w:r w:rsidRPr="00846DAC">
        <w:rPr>
          <w:rFonts w:cs="標楷體" w:hint="eastAsia"/>
          <w:kern w:val="0"/>
          <w:szCs w:val="28"/>
          <w:lang w:val="zh-TW"/>
        </w:rPr>
        <w:t>權。</w:t>
      </w:r>
      <w:r>
        <w:rPr>
          <w:rFonts w:cs="標楷體" w:hint="eastAsia"/>
          <w:kern w:val="0"/>
          <w:szCs w:val="28"/>
          <w:lang w:val="zh-TW"/>
        </w:rPr>
        <w:t>因此最高法院前開就替代性治療未說明即認有違反注意義務之看法，值得商確</w:t>
      </w:r>
      <w:r w:rsidRPr="00846DAC">
        <w:rPr>
          <w:rFonts w:cs="標楷體" w:hint="eastAsia"/>
          <w:kern w:val="0"/>
          <w:szCs w:val="28"/>
          <w:lang w:val="zh-TW"/>
        </w:rPr>
        <w:t>。</w:t>
      </w:r>
      <w:r>
        <w:rPr>
          <w:rFonts w:hint="eastAsia"/>
        </w:rPr>
        <w:t>至於是否應將醫師與藥商間的利益關係列入說明義務的內容，就我國醫療法與醫師法關於說明義務範圍均無相關規定，最高法院心導管案就關於醫師用藥時之利益衝突亦未列入說明義務的範圍，但國內不乏因醫師與藥商間之往來引起外界對於醫師用藥的判斷是否受到藥商利益誘惑的污染之質疑聲浪</w:t>
      </w:r>
      <w:r>
        <w:rPr>
          <w:rStyle w:val="ac"/>
          <w:rFonts w:cs="細明體"/>
        </w:rPr>
        <w:footnoteReference w:id="110"/>
      </w:r>
      <w:r>
        <w:rPr>
          <w:rFonts w:hint="eastAsia"/>
        </w:rPr>
        <w:t>，倘若醫師無法自行遵守內部醫師倫理規範</w:t>
      </w:r>
      <w:r>
        <w:rPr>
          <w:rStyle w:val="ac"/>
          <w:rFonts w:cs="細明體"/>
        </w:rPr>
        <w:footnoteReference w:id="111"/>
      </w:r>
      <w:r>
        <w:rPr>
          <w:rFonts w:hint="eastAsia"/>
        </w:rPr>
        <w:t>，要求依其專業自主權，對於病人之處方，不受藥廠之影響，外部之他律機制即應考慮，特別在有可能影響患者自主決定權時，醫師用藥可能面臨之利益衝突應加以說明，以強化用藥之正當性。</w:t>
      </w:r>
      <w:r>
        <w:t xml:space="preserve">   </w:t>
      </w:r>
    </w:p>
    <w:p w:rsidR="00DB326D" w:rsidRPr="00846DAC" w:rsidRDefault="00DB326D" w:rsidP="00DB326D">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hanging="142"/>
        <w:rPr>
          <w:rFonts w:cs="標楷體"/>
          <w:bCs/>
          <w:kern w:val="0"/>
          <w:szCs w:val="28"/>
          <w:lang w:val="zh-TW"/>
        </w:rPr>
      </w:pPr>
      <w:r>
        <w:rPr>
          <w:rFonts w:cs="標楷體"/>
          <w:bCs/>
          <w:kern w:val="0"/>
          <w:szCs w:val="28"/>
          <w:lang w:val="zh-TW"/>
        </w:rPr>
        <w:t xml:space="preserve"> </w:t>
      </w:r>
      <w:r w:rsidRPr="00846DAC">
        <w:rPr>
          <w:rFonts w:cs="標楷體"/>
          <w:bCs/>
          <w:kern w:val="0"/>
          <w:szCs w:val="28"/>
          <w:lang w:val="zh-TW"/>
        </w:rPr>
        <w:t>3</w:t>
      </w:r>
      <w:r w:rsidRPr="00846DAC">
        <w:rPr>
          <w:rFonts w:cs="標楷體" w:hint="eastAsia"/>
          <w:bCs/>
          <w:kern w:val="0"/>
          <w:szCs w:val="28"/>
          <w:lang w:val="zh-TW"/>
        </w:rPr>
        <w:t>、以民法第</w:t>
      </w:r>
      <w:r w:rsidRPr="00846DAC">
        <w:rPr>
          <w:rFonts w:cs="標楷體"/>
          <w:bCs/>
          <w:kern w:val="0"/>
          <w:szCs w:val="28"/>
          <w:lang w:val="zh-TW"/>
        </w:rPr>
        <w:t>184</w:t>
      </w:r>
      <w:r w:rsidRPr="00846DAC">
        <w:rPr>
          <w:rFonts w:cs="標楷體" w:hint="eastAsia"/>
          <w:bCs/>
          <w:kern w:val="0"/>
          <w:szCs w:val="28"/>
          <w:lang w:val="zh-TW"/>
        </w:rPr>
        <w:t>條第</w:t>
      </w:r>
      <w:r w:rsidRPr="00846DAC">
        <w:rPr>
          <w:rFonts w:cs="標楷體"/>
          <w:bCs/>
          <w:kern w:val="0"/>
          <w:szCs w:val="28"/>
          <w:lang w:val="zh-TW"/>
        </w:rPr>
        <w:t>2</w:t>
      </w:r>
      <w:r w:rsidRPr="00846DAC">
        <w:rPr>
          <w:rFonts w:cs="標楷體" w:hint="eastAsia"/>
          <w:bCs/>
          <w:kern w:val="0"/>
          <w:szCs w:val="28"/>
          <w:lang w:val="zh-TW"/>
        </w:rPr>
        <w:t>項違反保護他人法律作為</w:t>
      </w:r>
      <w:r>
        <w:rPr>
          <w:rFonts w:cs="標楷體" w:hint="eastAsia"/>
          <w:bCs/>
          <w:kern w:val="0"/>
          <w:szCs w:val="28"/>
          <w:lang w:val="zh-TW"/>
        </w:rPr>
        <w:t>仿單外使用說明</w:t>
      </w:r>
      <w:r w:rsidRPr="00846DAC">
        <w:rPr>
          <w:rFonts w:cs="標楷體" w:hint="eastAsia"/>
          <w:bCs/>
          <w:kern w:val="0"/>
          <w:szCs w:val="28"/>
          <w:lang w:val="zh-TW"/>
        </w:rPr>
        <w:t>依據</w:t>
      </w:r>
      <w:r>
        <w:rPr>
          <w:rFonts w:cs="標楷體" w:hint="eastAsia"/>
          <w:bCs/>
          <w:kern w:val="0"/>
          <w:szCs w:val="28"/>
          <w:lang w:val="zh-TW"/>
        </w:rPr>
        <w:t>及違反法律效果</w:t>
      </w:r>
    </w:p>
    <w:p w:rsidR="00DB326D" w:rsidRDefault="00DB326D" w:rsidP="00DB326D">
      <w:pPr>
        <w:autoSpaceDE w:val="0"/>
        <w:autoSpaceDN w:val="0"/>
        <w:adjustRightInd w:val="0"/>
        <w:spacing w:line="240" w:lineRule="atLeast"/>
        <w:ind w:firstLine="567"/>
        <w:rPr>
          <w:rFonts w:cs="標楷體"/>
          <w:szCs w:val="28"/>
          <w:lang w:val="zh-TW"/>
        </w:rPr>
      </w:pPr>
      <w:r>
        <w:rPr>
          <w:rFonts w:cs="標楷體" w:hint="eastAsia"/>
          <w:szCs w:val="28"/>
          <w:lang w:val="zh-TW"/>
        </w:rPr>
        <w:t>將醫療法第</w:t>
      </w:r>
      <w:r>
        <w:rPr>
          <w:rFonts w:cs="標楷體"/>
          <w:szCs w:val="28"/>
          <w:lang w:val="zh-TW"/>
        </w:rPr>
        <w:t>81</w:t>
      </w:r>
      <w:r>
        <w:rPr>
          <w:rFonts w:cs="標楷體" w:hint="eastAsia"/>
          <w:szCs w:val="28"/>
          <w:lang w:val="zh-TW"/>
        </w:rPr>
        <w:t>條及</w:t>
      </w:r>
      <w:r w:rsidRPr="00846DAC">
        <w:rPr>
          <w:rFonts w:cs="標楷體" w:hint="eastAsia"/>
          <w:szCs w:val="28"/>
          <w:lang w:val="zh-TW"/>
        </w:rPr>
        <w:t>醫師法增列第</w:t>
      </w:r>
      <w:r w:rsidRPr="00846DAC">
        <w:rPr>
          <w:rFonts w:cs="標楷體"/>
          <w:szCs w:val="28"/>
          <w:lang w:val="zh-TW"/>
        </w:rPr>
        <w:t>12</w:t>
      </w:r>
      <w:r w:rsidRPr="00846DAC">
        <w:rPr>
          <w:rFonts w:cs="標楷體" w:hint="eastAsia"/>
          <w:szCs w:val="28"/>
          <w:lang w:val="zh-TW"/>
        </w:rPr>
        <w:t>條之</w:t>
      </w:r>
      <w:r w:rsidRPr="00846DAC">
        <w:rPr>
          <w:rFonts w:cs="標楷體"/>
          <w:szCs w:val="28"/>
          <w:lang w:val="zh-TW"/>
        </w:rPr>
        <w:t>1</w:t>
      </w:r>
      <w:r w:rsidRPr="00846DAC">
        <w:rPr>
          <w:rFonts w:cs="標楷體" w:hint="eastAsia"/>
          <w:szCs w:val="28"/>
          <w:lang w:val="zh-TW"/>
        </w:rPr>
        <w:t>課以</w:t>
      </w:r>
      <w:r>
        <w:rPr>
          <w:rFonts w:cs="標楷體" w:hint="eastAsia"/>
          <w:szCs w:val="28"/>
          <w:lang w:val="zh-TW"/>
        </w:rPr>
        <w:t>醫療機構及</w:t>
      </w:r>
      <w:r w:rsidRPr="00846DAC">
        <w:rPr>
          <w:rFonts w:cs="標楷體" w:hint="eastAsia"/>
          <w:szCs w:val="28"/>
          <w:lang w:val="zh-TW"/>
        </w:rPr>
        <w:t>醫師</w:t>
      </w:r>
      <w:r>
        <w:rPr>
          <w:rFonts w:cs="標楷體" w:hint="eastAsia"/>
          <w:szCs w:val="28"/>
          <w:lang w:val="zh-TW"/>
        </w:rPr>
        <w:t>針對用藥</w:t>
      </w:r>
      <w:r w:rsidRPr="00846DAC">
        <w:rPr>
          <w:rFonts w:cs="標楷體" w:hint="eastAsia"/>
          <w:szCs w:val="28"/>
          <w:lang w:val="zh-TW"/>
        </w:rPr>
        <w:t>及可能之不良反應</w:t>
      </w:r>
      <w:r>
        <w:rPr>
          <w:rFonts w:cs="標楷體" w:hint="eastAsia"/>
          <w:szCs w:val="28"/>
          <w:lang w:val="zh-TW"/>
        </w:rPr>
        <w:t>作為說明義務之依據及</w:t>
      </w:r>
      <w:r w:rsidRPr="00846DAC">
        <w:rPr>
          <w:rFonts w:cs="標楷體" w:hint="eastAsia"/>
          <w:szCs w:val="28"/>
          <w:lang w:val="zh-TW"/>
        </w:rPr>
        <w:t>說明</w:t>
      </w:r>
      <w:r>
        <w:rPr>
          <w:rFonts w:cs="標楷體" w:hint="eastAsia"/>
          <w:szCs w:val="28"/>
          <w:lang w:val="zh-TW"/>
        </w:rPr>
        <w:t>義務</w:t>
      </w:r>
      <w:r w:rsidRPr="00846DAC">
        <w:rPr>
          <w:rFonts w:cs="標楷體" w:hint="eastAsia"/>
          <w:szCs w:val="28"/>
          <w:lang w:val="zh-TW"/>
        </w:rPr>
        <w:t>之內容，</w:t>
      </w:r>
      <w:r>
        <w:rPr>
          <w:rFonts w:cs="標楷體" w:hint="eastAsia"/>
          <w:szCs w:val="28"/>
          <w:lang w:val="zh-TW"/>
        </w:rPr>
        <w:t>違反的法律效果是透過將上開規定界定為保護他人之法律，再依</w:t>
      </w:r>
      <w:r w:rsidRPr="00846DAC">
        <w:rPr>
          <w:rFonts w:cs="標楷體" w:hint="eastAsia"/>
          <w:szCs w:val="28"/>
          <w:lang w:val="zh-TW"/>
        </w:rPr>
        <w:t>民法第</w:t>
      </w:r>
      <w:r w:rsidRPr="00846DAC">
        <w:rPr>
          <w:rFonts w:cs="新細明體"/>
          <w:szCs w:val="28"/>
          <w:lang w:val="zh-TW"/>
        </w:rPr>
        <w:t>184</w:t>
      </w:r>
      <w:r w:rsidRPr="00846DAC">
        <w:rPr>
          <w:rFonts w:cs="標楷體" w:hint="eastAsia"/>
          <w:szCs w:val="28"/>
          <w:lang w:val="zh-TW"/>
        </w:rPr>
        <w:t>條第</w:t>
      </w:r>
      <w:r w:rsidRPr="00846DAC">
        <w:rPr>
          <w:rFonts w:cs="新細明體"/>
          <w:szCs w:val="28"/>
          <w:lang w:val="zh-TW"/>
        </w:rPr>
        <w:t>2</w:t>
      </w:r>
      <w:r w:rsidRPr="00846DAC">
        <w:rPr>
          <w:rFonts w:cs="標楷體" w:hint="eastAsia"/>
          <w:szCs w:val="28"/>
          <w:lang w:val="zh-TW"/>
        </w:rPr>
        <w:t>項</w:t>
      </w:r>
      <w:r>
        <w:rPr>
          <w:rFonts w:cs="標楷體" w:hint="eastAsia"/>
          <w:szCs w:val="28"/>
          <w:lang w:val="zh-TW"/>
        </w:rPr>
        <w:t>認為違反仿單外使用之說明義務係</w:t>
      </w:r>
      <w:r w:rsidRPr="00846DAC">
        <w:rPr>
          <w:rFonts w:cs="標楷體" w:hint="eastAsia"/>
          <w:szCs w:val="28"/>
          <w:lang w:val="zh-TW"/>
        </w:rPr>
        <w:t>違反保護他人之法律，</w:t>
      </w:r>
      <w:r>
        <w:rPr>
          <w:rFonts w:cs="標楷體" w:hint="eastAsia"/>
          <w:szCs w:val="28"/>
          <w:lang w:val="zh-TW"/>
        </w:rPr>
        <w:t>將患者因用藥所生之損害</w:t>
      </w:r>
      <w:r w:rsidRPr="00846DAC">
        <w:rPr>
          <w:rFonts w:cs="標楷體" w:hint="eastAsia"/>
          <w:szCs w:val="28"/>
          <w:lang w:val="zh-TW"/>
        </w:rPr>
        <w:t>推定醫師有過失，進而負擔損害賠償責任。惟</w:t>
      </w:r>
      <w:r>
        <w:rPr>
          <w:rFonts w:cs="標楷體" w:hint="eastAsia"/>
          <w:szCs w:val="28"/>
          <w:lang w:val="zh-TW"/>
        </w:rPr>
        <w:t>此說明義務之內容恐限於法條所載之事項，因此前開</w:t>
      </w:r>
      <w:r>
        <w:rPr>
          <w:rFonts w:cs="標楷體" w:hint="eastAsia"/>
          <w:szCs w:val="28"/>
          <w:lang w:val="zh-TW"/>
        </w:rPr>
        <w:lastRenderedPageBreak/>
        <w:t>最高法院所指仿單外使用應說明之替代性治療，並非法所明文應說明事項，即無違反說明義務之法律效果，</w:t>
      </w:r>
      <w:r w:rsidRPr="00846DAC">
        <w:rPr>
          <w:rFonts w:cs="標楷體" w:hint="eastAsia"/>
          <w:szCs w:val="28"/>
          <w:lang w:val="zh-TW"/>
        </w:rPr>
        <w:t>對於說明義務之違反請求權人應限於患者。</w:t>
      </w:r>
    </w:p>
    <w:p w:rsidR="00DB326D" w:rsidRPr="00846DAC" w:rsidRDefault="00DB326D" w:rsidP="00DB326D">
      <w:pPr>
        <w:autoSpaceDE w:val="0"/>
        <w:autoSpaceDN w:val="0"/>
        <w:adjustRightInd w:val="0"/>
        <w:spacing w:line="240" w:lineRule="atLeast"/>
        <w:ind w:hanging="142"/>
        <w:rPr>
          <w:rFonts w:cs="標楷體"/>
          <w:bCs/>
          <w:szCs w:val="32"/>
          <w:lang w:val="zh-TW"/>
        </w:rPr>
      </w:pPr>
      <w:r>
        <w:rPr>
          <w:rFonts w:cs="標楷體"/>
          <w:szCs w:val="28"/>
          <w:lang w:val="zh-TW"/>
        </w:rPr>
        <w:t xml:space="preserve"> 4</w:t>
      </w:r>
      <w:r>
        <w:rPr>
          <w:rFonts w:cs="標楷體" w:hint="eastAsia"/>
          <w:szCs w:val="28"/>
          <w:lang w:val="zh-TW"/>
        </w:rPr>
        <w:t>、</w:t>
      </w:r>
      <w:r w:rsidRPr="00846DAC">
        <w:rPr>
          <w:rFonts w:cs="標楷體" w:hint="eastAsia"/>
          <w:bCs/>
          <w:szCs w:val="32"/>
          <w:lang w:val="zh-TW"/>
        </w:rPr>
        <w:t>以醫療契約給付</w:t>
      </w:r>
      <w:r>
        <w:rPr>
          <w:rFonts w:cs="標楷體" w:hint="eastAsia"/>
          <w:bCs/>
          <w:szCs w:val="32"/>
          <w:lang w:val="zh-TW"/>
        </w:rPr>
        <w:t>中安全說明</w:t>
      </w:r>
      <w:r w:rsidRPr="00846DAC">
        <w:rPr>
          <w:rFonts w:cs="標楷體" w:hint="eastAsia"/>
          <w:bCs/>
          <w:szCs w:val="32"/>
          <w:lang w:val="zh-TW"/>
        </w:rPr>
        <w:t>義務作為法理基礎</w:t>
      </w:r>
      <w:r>
        <w:rPr>
          <w:rFonts w:cs="標楷體" w:hint="eastAsia"/>
          <w:bCs/>
          <w:szCs w:val="32"/>
          <w:lang w:val="zh-TW"/>
        </w:rPr>
        <w:t>及違反法律效果</w:t>
      </w:r>
    </w:p>
    <w:p w:rsidR="00DB326D" w:rsidRPr="00846DAC" w:rsidRDefault="00DB326D" w:rsidP="00DB326D">
      <w:pPr>
        <w:tabs>
          <w:tab w:val="left" w:pos="0"/>
          <w:tab w:val="left" w:pos="1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284"/>
        <w:rPr>
          <w:rFonts w:cs="標楷體"/>
          <w:kern w:val="0"/>
          <w:szCs w:val="28"/>
          <w:lang w:val="zh-TW"/>
        </w:rPr>
      </w:pPr>
      <w:r>
        <w:rPr>
          <w:rFonts w:cs="標楷體"/>
          <w:kern w:val="0"/>
          <w:szCs w:val="28"/>
          <w:lang w:val="zh-TW"/>
        </w:rPr>
        <w:t xml:space="preserve"> </w:t>
      </w:r>
      <w:r w:rsidRPr="00846DAC">
        <w:rPr>
          <w:rFonts w:cs="標楷體" w:hint="eastAsia"/>
          <w:kern w:val="0"/>
          <w:szCs w:val="28"/>
          <w:lang w:val="zh-TW"/>
        </w:rPr>
        <w:t>契約上之安全說明義務（</w:t>
      </w:r>
      <w:r w:rsidRPr="00846DAC">
        <w:rPr>
          <w:rFonts w:cs="標楷體"/>
          <w:kern w:val="0"/>
          <w:szCs w:val="28"/>
          <w:lang w:val="zh-TW"/>
        </w:rPr>
        <w:t>Sicherungsaufklrungspflicht</w:t>
      </w:r>
      <w:r w:rsidRPr="00846DAC">
        <w:rPr>
          <w:rFonts w:cs="標楷體" w:hint="eastAsia"/>
          <w:kern w:val="0"/>
          <w:szCs w:val="28"/>
          <w:lang w:val="zh-TW"/>
        </w:rPr>
        <w:t>）其發展主要係由於各行各業分工精細化，因專業之隔閡或商品服務之複雜化，若無適當之說明，契約之相對人將無法使用他方所提供之商品或服務，使得契約履行目的無法達成，因此契約之履行不再僅單純標的物之給付或履行，說明義務亦內含於契約履行內容，債務人對於內含於標的物之危險，特別是已經存在或可預見之風險，必須向債權人提出說明與警告，特別是針對契約當事人間所掌握專業知識落差大時，資訊弱勢之一方，若無透過他方之資訊提供即無享受他方履行行為所帶來之利益，反而可能因為受領給付而不當使用產生危險。上開概念套用於醫療契約之上，醫師與病患原本就醫療知識上處於極度不對等之關係上，醫師對於治療行為經常必須藉由資訊說明告知病患配合之事項以降低風險，達到治療的目的。以</w:t>
      </w:r>
      <w:r>
        <w:rPr>
          <w:rFonts w:cs="標楷體" w:hint="eastAsia"/>
          <w:kern w:val="0"/>
          <w:szCs w:val="28"/>
          <w:lang w:val="zh-TW"/>
        </w:rPr>
        <w:t>仿單外使用之</w:t>
      </w:r>
      <w:r w:rsidRPr="00846DAC">
        <w:rPr>
          <w:rFonts w:cs="標楷體" w:hint="eastAsia"/>
          <w:kern w:val="0"/>
          <w:szCs w:val="28"/>
          <w:lang w:val="zh-TW"/>
        </w:rPr>
        <w:t>藥物治療為例，醫師必須說明藥物如何</w:t>
      </w:r>
      <w:r>
        <w:rPr>
          <w:rFonts w:cs="標楷體" w:hint="eastAsia"/>
          <w:kern w:val="0"/>
          <w:szCs w:val="28"/>
          <w:lang w:val="zh-TW"/>
        </w:rPr>
        <w:t>、</w:t>
      </w:r>
      <w:r w:rsidRPr="00846DAC">
        <w:rPr>
          <w:rFonts w:cs="標楷體" w:hint="eastAsia"/>
          <w:kern w:val="0"/>
          <w:szCs w:val="28"/>
          <w:lang w:val="zh-TW"/>
        </w:rPr>
        <w:t>何時服用，其目的可能在於使身體容易吸引藥物以及避免藥物副作用可能造成危險，</w:t>
      </w:r>
      <w:r>
        <w:rPr>
          <w:rFonts w:cs="標楷體" w:hint="eastAsia"/>
          <w:kern w:val="0"/>
          <w:szCs w:val="28"/>
          <w:lang w:val="zh-TW"/>
        </w:rPr>
        <w:t>例如服藥可能產生注意力不集中應避免駕車等等，或產生藥物不良反應之症候為何及應如何處理，提醒患者查悉藥害之發生並為減少損害之適當行為，例如停藥、回診等</w:t>
      </w:r>
      <w:r w:rsidRPr="00846DAC">
        <w:rPr>
          <w:rFonts w:cs="標楷體" w:hint="eastAsia"/>
          <w:kern w:val="0"/>
          <w:szCs w:val="28"/>
          <w:lang w:val="zh-TW"/>
        </w:rPr>
        <w:t>。因此，關於契約上安全說明義務即為醫療行為之一部分，且為降低風險之行為</w:t>
      </w:r>
      <w:r>
        <w:rPr>
          <w:rFonts w:cs="標楷體" w:hint="eastAsia"/>
          <w:kern w:val="0"/>
          <w:szCs w:val="28"/>
          <w:lang w:val="zh-TW"/>
        </w:rPr>
        <w:t>，從</w:t>
      </w:r>
      <w:r w:rsidRPr="00846DAC">
        <w:rPr>
          <w:rFonts w:cs="標楷體" w:hint="eastAsia"/>
          <w:kern w:val="0"/>
          <w:szCs w:val="28"/>
          <w:lang w:val="zh-TW"/>
        </w:rPr>
        <w:t>醫療服務契約之債之關係而言，醫師提供醫療服務之履行滿足病患之利益為主要目的，即是主給付義務，今安全說明即為醫療行為之一部分不可分離，故安全說明義務乃是主給付義務，對於安全說明義務之違反</w:t>
      </w:r>
      <w:r>
        <w:rPr>
          <w:rFonts w:cs="標楷體" w:hint="eastAsia"/>
          <w:kern w:val="0"/>
          <w:szCs w:val="28"/>
          <w:lang w:val="zh-TW"/>
        </w:rPr>
        <w:t>的法律效果即</w:t>
      </w:r>
      <w:r w:rsidRPr="00846DAC">
        <w:rPr>
          <w:rFonts w:cs="標楷體" w:hint="eastAsia"/>
          <w:kern w:val="0"/>
          <w:szCs w:val="28"/>
          <w:lang w:val="zh-TW"/>
        </w:rPr>
        <w:t>為債務不履行</w:t>
      </w:r>
      <w:r>
        <w:rPr>
          <w:rFonts w:cs="標楷體" w:hint="eastAsia"/>
          <w:kern w:val="0"/>
          <w:szCs w:val="28"/>
          <w:lang w:val="zh-TW"/>
        </w:rPr>
        <w:t>，在刑事上</w:t>
      </w:r>
      <w:r w:rsidRPr="00846DAC">
        <w:rPr>
          <w:rFonts w:cs="標楷體" w:hint="eastAsia"/>
          <w:kern w:val="0"/>
          <w:szCs w:val="28"/>
          <w:lang w:val="zh-TW"/>
        </w:rPr>
        <w:t>構成</w:t>
      </w:r>
      <w:r>
        <w:rPr>
          <w:rFonts w:cs="標楷體" w:hint="eastAsia"/>
          <w:kern w:val="0"/>
          <w:szCs w:val="28"/>
          <w:lang w:val="zh-TW"/>
        </w:rPr>
        <w:t>業務上</w:t>
      </w:r>
      <w:r w:rsidRPr="00846DAC">
        <w:rPr>
          <w:rFonts w:cs="標楷體" w:hint="eastAsia"/>
          <w:kern w:val="0"/>
          <w:szCs w:val="28"/>
          <w:lang w:val="zh-TW"/>
        </w:rPr>
        <w:t>醫療過失</w:t>
      </w:r>
      <w:r>
        <w:rPr>
          <w:rFonts w:cs="標楷體" w:hint="eastAsia"/>
          <w:kern w:val="0"/>
          <w:szCs w:val="28"/>
          <w:lang w:val="zh-TW"/>
        </w:rPr>
        <w:t>注意義務之違反</w:t>
      </w:r>
      <w:r w:rsidRPr="00846DAC">
        <w:rPr>
          <w:rFonts w:cs="標楷體" w:hint="eastAsia"/>
          <w:kern w:val="0"/>
          <w:szCs w:val="28"/>
          <w:lang w:val="zh-TW"/>
        </w:rPr>
        <w:t>，在醫療契約上對於用藥之說明，</w:t>
      </w:r>
      <w:r>
        <w:rPr>
          <w:rFonts w:cs="標楷體" w:hint="eastAsia"/>
          <w:kern w:val="0"/>
          <w:szCs w:val="28"/>
          <w:lang w:val="zh-TW"/>
        </w:rPr>
        <w:t>並</w:t>
      </w:r>
      <w:r w:rsidRPr="00846DAC">
        <w:rPr>
          <w:rFonts w:cs="標楷體" w:hint="eastAsia"/>
          <w:kern w:val="0"/>
          <w:szCs w:val="28"/>
          <w:lang w:val="zh-TW"/>
        </w:rPr>
        <w:t>非單純保護債權人固有利益不受侵害，亦係涉及醫療服務</w:t>
      </w:r>
      <w:r>
        <w:rPr>
          <w:rFonts w:cs="標楷體" w:hint="eastAsia"/>
          <w:kern w:val="0"/>
          <w:szCs w:val="28"/>
          <w:lang w:val="zh-TW"/>
        </w:rPr>
        <w:t>目的能否達成</w:t>
      </w:r>
      <w:r w:rsidRPr="00846DAC">
        <w:rPr>
          <w:rFonts w:cs="標楷體" w:hint="eastAsia"/>
          <w:kern w:val="0"/>
          <w:szCs w:val="28"/>
          <w:lang w:val="zh-TW"/>
        </w:rPr>
        <w:t>，</w:t>
      </w:r>
      <w:r>
        <w:rPr>
          <w:rFonts w:cs="標楷體" w:hint="eastAsia"/>
          <w:kern w:val="0"/>
          <w:szCs w:val="28"/>
          <w:lang w:val="zh-TW"/>
        </w:rPr>
        <w:t>已</w:t>
      </w:r>
      <w:r w:rsidRPr="00846DAC">
        <w:rPr>
          <w:rFonts w:cs="標楷體" w:hint="eastAsia"/>
          <w:kern w:val="0"/>
          <w:szCs w:val="28"/>
          <w:lang w:val="zh-TW"/>
        </w:rPr>
        <w:t>非如從給付義務僅係為了準備、確定、支持及完全債務人本身之主給付義務。</w:t>
      </w:r>
      <w:r>
        <w:rPr>
          <w:rFonts w:cs="標楷體" w:hint="eastAsia"/>
          <w:kern w:val="0"/>
          <w:szCs w:val="28"/>
          <w:lang w:val="zh-TW"/>
        </w:rPr>
        <w:t>上開法院見解中似乎均未以醫療契約所生仿單外使用之說明義務，甚為可惜。</w:t>
      </w:r>
    </w:p>
    <w:p w:rsidR="00DB326D" w:rsidRPr="00846DAC" w:rsidRDefault="00DB326D" w:rsidP="00DB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hanging="180"/>
        <w:rPr>
          <w:rFonts w:cs="標楷體"/>
          <w:bCs/>
          <w:kern w:val="0"/>
          <w:szCs w:val="28"/>
          <w:lang w:val="zh-TW"/>
        </w:rPr>
      </w:pPr>
      <w:r w:rsidRPr="00846DAC">
        <w:rPr>
          <w:rFonts w:cs="標楷體"/>
          <w:kern w:val="0"/>
          <w:szCs w:val="28"/>
          <w:lang w:val="zh-TW"/>
        </w:rPr>
        <w:t xml:space="preserve">  </w:t>
      </w:r>
      <w:r>
        <w:rPr>
          <w:rFonts w:cs="標楷體"/>
          <w:kern w:val="0"/>
          <w:szCs w:val="28"/>
          <w:lang w:val="zh-TW"/>
        </w:rPr>
        <w:t>5</w:t>
      </w:r>
      <w:r>
        <w:rPr>
          <w:rFonts w:cs="標楷體" w:hint="eastAsia"/>
          <w:kern w:val="0"/>
          <w:szCs w:val="28"/>
          <w:lang w:val="zh-TW"/>
        </w:rPr>
        <w:t>、</w:t>
      </w:r>
      <w:r w:rsidRPr="00846DAC">
        <w:rPr>
          <w:rFonts w:cs="標楷體" w:hint="eastAsia"/>
          <w:bCs/>
          <w:kern w:val="0"/>
          <w:szCs w:val="28"/>
          <w:lang w:val="zh-TW"/>
        </w:rPr>
        <w:t>契約附隨義務中保護義務及從給付義務所生之說明義務</w:t>
      </w:r>
      <w:r>
        <w:rPr>
          <w:rFonts w:cs="標楷體" w:hint="eastAsia"/>
          <w:bCs/>
          <w:kern w:val="0"/>
          <w:szCs w:val="28"/>
          <w:lang w:val="zh-TW"/>
        </w:rPr>
        <w:t>及違反法律效果</w:t>
      </w:r>
    </w:p>
    <w:p w:rsidR="00DB326D" w:rsidRPr="00846DAC" w:rsidRDefault="00DB326D" w:rsidP="00DB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hanging="180"/>
        <w:rPr>
          <w:rFonts w:cs="標楷體"/>
          <w:kern w:val="0"/>
          <w:szCs w:val="28"/>
          <w:lang w:val="zh-TW"/>
        </w:rPr>
      </w:pPr>
      <w:r w:rsidRPr="00846DAC">
        <w:rPr>
          <w:rFonts w:cs="標楷體"/>
          <w:kern w:val="0"/>
          <w:szCs w:val="28"/>
          <w:lang w:val="zh-TW"/>
        </w:rPr>
        <w:t xml:space="preserve">      </w:t>
      </w:r>
      <w:r w:rsidRPr="00846DAC">
        <w:rPr>
          <w:rFonts w:cs="標楷體" w:hint="eastAsia"/>
          <w:kern w:val="0"/>
          <w:szCs w:val="28"/>
          <w:lang w:val="zh-TW"/>
        </w:rPr>
        <w:t>契約中保護義務所生之說明義務主要係為了保護債權人之固有利益（完整利益），基於誠實信用（</w:t>
      </w:r>
      <w:r w:rsidRPr="00846DAC">
        <w:rPr>
          <w:rFonts w:cs="標楷體"/>
          <w:kern w:val="0"/>
          <w:szCs w:val="28"/>
          <w:lang w:val="zh-TW"/>
        </w:rPr>
        <w:t>Treu und Glauben</w:t>
      </w:r>
      <w:r w:rsidRPr="00846DAC">
        <w:rPr>
          <w:rFonts w:cs="標楷體" w:hint="eastAsia"/>
          <w:kern w:val="0"/>
          <w:szCs w:val="28"/>
          <w:lang w:val="zh-TW"/>
        </w:rPr>
        <w:t>）契約當事人在契約履行時應注意不侵害他方之固有權利及利益，因此產生提供基於保障他方固有權利之重要資訊之義務，套用於</w:t>
      </w:r>
      <w:r>
        <w:rPr>
          <w:rFonts w:cs="標楷體" w:hint="eastAsia"/>
          <w:kern w:val="0"/>
          <w:szCs w:val="28"/>
          <w:lang w:val="zh-TW"/>
        </w:rPr>
        <w:t>仿單外使用之醫療行為，醫</w:t>
      </w:r>
      <w:r w:rsidRPr="00846DAC">
        <w:rPr>
          <w:rFonts w:cs="標楷體" w:hint="eastAsia"/>
          <w:kern w:val="0"/>
          <w:szCs w:val="28"/>
          <w:lang w:val="zh-TW"/>
        </w:rPr>
        <w:t>師基於保護病患之病人自主決定權之固有權利，必須提供相關之資訊，</w:t>
      </w:r>
      <w:r>
        <w:rPr>
          <w:rFonts w:cs="標楷體" w:hint="eastAsia"/>
          <w:kern w:val="0"/>
          <w:szCs w:val="28"/>
          <w:lang w:val="zh-TW"/>
        </w:rPr>
        <w:t>例如仿單外使用之科學證據或者有無其他替代性藥物，預定使用藥物之風險、利益與其他適應症藥物之比較，</w:t>
      </w:r>
      <w:r w:rsidRPr="00846DAC">
        <w:rPr>
          <w:rFonts w:cs="標楷體" w:hint="eastAsia"/>
          <w:kern w:val="0"/>
          <w:szCs w:val="28"/>
          <w:lang w:val="zh-TW"/>
        </w:rPr>
        <w:t>供病患知悉與參考，因此此部分契約附隨義務所生之說明義務與基於病患自主決權而生之說明義務發生重疊，若違反時將產生</w:t>
      </w:r>
      <w:r>
        <w:rPr>
          <w:rFonts w:cs="標楷體" w:hint="eastAsia"/>
          <w:kern w:val="0"/>
          <w:szCs w:val="28"/>
          <w:lang w:val="zh-TW"/>
        </w:rPr>
        <w:t>不完全給付之債務不履行</w:t>
      </w:r>
      <w:r w:rsidRPr="00846DAC">
        <w:rPr>
          <w:rFonts w:cs="標楷體" w:hint="eastAsia"/>
          <w:kern w:val="0"/>
          <w:szCs w:val="28"/>
          <w:lang w:val="zh-TW"/>
        </w:rPr>
        <w:t>責任與侵權責任競合，</w:t>
      </w:r>
      <w:r>
        <w:rPr>
          <w:rFonts w:cs="標楷體" w:hint="eastAsia"/>
          <w:kern w:val="0"/>
          <w:szCs w:val="28"/>
          <w:lang w:val="zh-TW"/>
        </w:rPr>
        <w:t>另外</w:t>
      </w:r>
      <w:r w:rsidRPr="00846DAC">
        <w:rPr>
          <w:rFonts w:cs="標楷體" w:hint="eastAsia"/>
          <w:kern w:val="0"/>
          <w:szCs w:val="28"/>
          <w:lang w:val="zh-TW"/>
        </w:rPr>
        <w:t>醫療契約主給付係醫療服務提供及醫療費用報酬，關於醫療處置所生之費用是否為全民健康保險局依據保險契約給付</w:t>
      </w:r>
      <w:r>
        <w:rPr>
          <w:rFonts w:cs="標楷體" w:hint="eastAsia"/>
          <w:kern w:val="0"/>
          <w:szCs w:val="28"/>
          <w:lang w:val="zh-TW"/>
        </w:rPr>
        <w:t>或發生藥物不良反應時有無藥害救濟給付</w:t>
      </w:r>
      <w:r w:rsidRPr="00846DAC">
        <w:rPr>
          <w:rFonts w:cs="標楷體" w:hint="eastAsia"/>
          <w:kern w:val="0"/>
          <w:szCs w:val="28"/>
          <w:lang w:val="zh-TW"/>
        </w:rPr>
        <w:t>，乃事關病患醫療費用給付</w:t>
      </w:r>
      <w:r>
        <w:rPr>
          <w:rFonts w:cs="標楷體" w:hint="eastAsia"/>
          <w:kern w:val="0"/>
          <w:szCs w:val="28"/>
          <w:lang w:val="zh-TW"/>
        </w:rPr>
        <w:t>及損害補償</w:t>
      </w:r>
      <w:r w:rsidRPr="00846DAC">
        <w:rPr>
          <w:rFonts w:cs="標楷體" w:hint="eastAsia"/>
          <w:kern w:val="0"/>
          <w:szCs w:val="28"/>
          <w:lang w:val="zh-TW"/>
        </w:rPr>
        <w:t>，且是否為全民健康保險契約給付項目所涵蓋</w:t>
      </w:r>
      <w:r>
        <w:rPr>
          <w:rFonts w:cs="標楷體" w:hint="eastAsia"/>
          <w:kern w:val="0"/>
          <w:szCs w:val="28"/>
          <w:lang w:val="zh-TW"/>
        </w:rPr>
        <w:t>或藥害救濟法所得請求給付</w:t>
      </w:r>
      <w:r w:rsidRPr="00846DAC">
        <w:rPr>
          <w:rFonts w:cs="標楷體" w:hint="eastAsia"/>
          <w:kern w:val="0"/>
          <w:szCs w:val="28"/>
          <w:lang w:val="zh-TW"/>
        </w:rPr>
        <w:t>，醫師所掌握之資訊遠比病患充足，並且事關主給</w:t>
      </w:r>
      <w:r w:rsidRPr="00846DAC">
        <w:rPr>
          <w:rFonts w:cs="標楷體" w:hint="eastAsia"/>
          <w:kern w:val="0"/>
          <w:szCs w:val="28"/>
          <w:lang w:val="zh-TW"/>
        </w:rPr>
        <w:lastRenderedPageBreak/>
        <w:t>付（醫療報酬）之確定，此等經濟解釋義務（</w:t>
      </w:r>
      <w:r w:rsidRPr="00846DAC">
        <w:rPr>
          <w:rFonts w:cs="標楷體"/>
          <w:kern w:val="0"/>
          <w:szCs w:val="28"/>
          <w:lang w:val="zh-TW"/>
        </w:rPr>
        <w:t>Wirtschaftlicheaufklrung</w:t>
      </w:r>
      <w:r w:rsidRPr="00846DAC">
        <w:rPr>
          <w:rFonts w:cs="標楷體" w:hint="eastAsia"/>
          <w:kern w:val="0"/>
          <w:szCs w:val="28"/>
          <w:lang w:val="zh-TW"/>
        </w:rPr>
        <w:t>），醫師之說明義務應屬於從給付義務類型，而非基於附隨義務而生之說明義務，且此等說明內容主要保護病患避免沉重的經濟負擔</w:t>
      </w:r>
      <w:r>
        <w:rPr>
          <w:rFonts w:cs="標楷體" w:hint="eastAsia"/>
          <w:kern w:val="0"/>
          <w:szCs w:val="28"/>
          <w:lang w:val="zh-TW"/>
        </w:rPr>
        <w:t>及事後有無補償機制</w:t>
      </w:r>
      <w:r w:rsidRPr="00846DAC">
        <w:rPr>
          <w:rFonts w:cs="標楷體" w:hint="eastAsia"/>
          <w:kern w:val="0"/>
          <w:szCs w:val="28"/>
          <w:lang w:val="zh-TW"/>
        </w:rPr>
        <w:t>。</w:t>
      </w:r>
      <w:r>
        <w:rPr>
          <w:rFonts w:cs="標楷體" w:hint="eastAsia"/>
          <w:kern w:val="0"/>
          <w:szCs w:val="28"/>
          <w:lang w:val="zh-TW"/>
        </w:rPr>
        <w:t>上開法院見解中說明義務之內容均遺漏仿單外使用之費用是健保局不給付，可能須由患者自能負擔以及現行藥害救濟途徑被排除之經濟上不利益情況之說明。</w:t>
      </w:r>
      <w:r>
        <w:t xml:space="preserve"> </w:t>
      </w:r>
    </w:p>
    <w:p w:rsidR="00DB326D" w:rsidRPr="00846DAC" w:rsidRDefault="00DB326D" w:rsidP="00DB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hanging="720"/>
        <w:rPr>
          <w:rFonts w:cs="標楷體"/>
          <w:kern w:val="0"/>
          <w:szCs w:val="28"/>
          <w:lang w:val="zh-TW"/>
        </w:rPr>
      </w:pPr>
      <w:r w:rsidRPr="00846DAC">
        <w:rPr>
          <w:rFonts w:cs="標楷體"/>
          <w:kern w:val="0"/>
          <w:szCs w:val="28"/>
          <w:lang w:val="zh-TW"/>
        </w:rPr>
        <w:t xml:space="preserve">       </w:t>
      </w:r>
      <w:r>
        <w:rPr>
          <w:rFonts w:cs="標楷體"/>
          <w:kern w:val="0"/>
          <w:szCs w:val="28"/>
          <w:lang w:val="zh-TW"/>
        </w:rPr>
        <w:t xml:space="preserve">   </w:t>
      </w:r>
      <w:r>
        <w:rPr>
          <w:rFonts w:cs="標楷體" w:hint="eastAsia"/>
          <w:kern w:val="0"/>
          <w:szCs w:val="28"/>
          <w:lang w:val="zh-TW"/>
        </w:rPr>
        <w:t>前開法院次嚴格或較寬鬆之管制，</w:t>
      </w:r>
      <w:r w:rsidRPr="00846DAC">
        <w:rPr>
          <w:rFonts w:cs="標楷體" w:hint="eastAsia"/>
          <w:kern w:val="0"/>
          <w:szCs w:val="28"/>
          <w:lang w:val="zh-TW"/>
        </w:rPr>
        <w:t>未從醫療契約角度去闡述醫師之說明義務，就基於病患自主決定權所發展的醫師說明義務</w:t>
      </w:r>
      <w:r>
        <w:rPr>
          <w:rFonts w:cs="標楷體" w:hint="eastAsia"/>
          <w:kern w:val="0"/>
          <w:szCs w:val="28"/>
          <w:lang w:val="zh-TW"/>
        </w:rPr>
        <w:t>，有時無法</w:t>
      </w:r>
      <w:r w:rsidRPr="00846DAC">
        <w:rPr>
          <w:rFonts w:cs="標楷體" w:hint="eastAsia"/>
          <w:kern w:val="0"/>
          <w:szCs w:val="28"/>
          <w:lang w:val="zh-TW"/>
        </w:rPr>
        <w:t>涵蓋所有醫師說明義務類型，</w:t>
      </w:r>
      <w:r>
        <w:rPr>
          <w:rFonts w:cs="標楷體" w:hint="eastAsia"/>
          <w:kern w:val="0"/>
          <w:szCs w:val="28"/>
          <w:lang w:val="zh-TW"/>
        </w:rPr>
        <w:t>故就違反的法律效果</w:t>
      </w:r>
      <w:r w:rsidRPr="00846DAC">
        <w:rPr>
          <w:rFonts w:cs="標楷體" w:hint="eastAsia"/>
          <w:kern w:val="0"/>
          <w:szCs w:val="28"/>
          <w:lang w:val="zh-TW"/>
        </w:rPr>
        <w:t>，</w:t>
      </w:r>
      <w:r>
        <w:rPr>
          <w:rFonts w:cs="標楷體" w:hint="eastAsia"/>
          <w:kern w:val="0"/>
          <w:szCs w:val="28"/>
          <w:lang w:val="zh-TW"/>
        </w:rPr>
        <w:t>造成法院各自解讀</w:t>
      </w:r>
      <w:r w:rsidRPr="00846DAC">
        <w:rPr>
          <w:rFonts w:cs="標楷體" w:hint="eastAsia"/>
          <w:kern w:val="0"/>
          <w:szCs w:val="28"/>
          <w:lang w:val="zh-TW"/>
        </w:rPr>
        <w:t>，</w:t>
      </w:r>
      <w:r>
        <w:rPr>
          <w:rFonts w:cs="標楷體" w:hint="eastAsia"/>
          <w:kern w:val="0"/>
          <w:szCs w:val="28"/>
          <w:lang w:val="zh-TW"/>
        </w:rPr>
        <w:t>莫衷一是。因此法院就個案所違反說明之義務係基於何種法律基礎，更顯得重要，惟可惜法院均吝於著墨，或許</w:t>
      </w:r>
      <w:r w:rsidRPr="00846DAC">
        <w:rPr>
          <w:rFonts w:cs="標楷體" w:hint="eastAsia"/>
          <w:kern w:val="0"/>
          <w:szCs w:val="28"/>
          <w:lang w:val="zh-TW"/>
        </w:rPr>
        <w:t>從醫療契約去建構醫師之說明義務，應係將來法理基礎發展之方向</w:t>
      </w:r>
      <w:r>
        <w:rPr>
          <w:rStyle w:val="ac"/>
          <w:rFonts w:cs="標楷體"/>
          <w:kern w:val="0"/>
          <w:szCs w:val="28"/>
          <w:lang w:val="zh-TW"/>
        </w:rPr>
        <w:footnoteReference w:id="112"/>
      </w:r>
      <w:r w:rsidRPr="00846DAC">
        <w:rPr>
          <w:rFonts w:cs="標楷體" w:hint="eastAsia"/>
          <w:kern w:val="0"/>
          <w:szCs w:val="28"/>
          <w:lang w:val="zh-TW"/>
        </w:rPr>
        <w:t>。</w:t>
      </w:r>
    </w:p>
    <w:p w:rsidR="00DB326D" w:rsidRPr="00846DAC" w:rsidRDefault="00DB326D" w:rsidP="00DB326D">
      <w:pPr>
        <w:widowControl/>
        <w:spacing w:before="100" w:beforeAutospacing="1" w:after="100" w:afterAutospacing="1" w:line="240" w:lineRule="atLeast"/>
        <w:rPr>
          <w:szCs w:val="28"/>
        </w:rPr>
      </w:pPr>
      <w:r w:rsidRPr="00846DAC">
        <w:rPr>
          <w:szCs w:val="28"/>
        </w:rPr>
        <w:t>3</w:t>
      </w:r>
      <w:r w:rsidRPr="00846DAC">
        <w:rPr>
          <w:rFonts w:hint="eastAsia"/>
          <w:szCs w:val="28"/>
        </w:rPr>
        <w:t>、就最寬鬆之管制而言</w:t>
      </w:r>
    </w:p>
    <w:p w:rsidR="00DB326D" w:rsidRDefault="00DB326D" w:rsidP="00DB326D">
      <w:pPr>
        <w:widowControl/>
        <w:spacing w:before="100" w:beforeAutospacing="1" w:after="100" w:afterAutospacing="1" w:line="240" w:lineRule="atLeast"/>
        <w:rPr>
          <w:szCs w:val="28"/>
        </w:rPr>
      </w:pPr>
      <w:r w:rsidRPr="00846DAC">
        <w:rPr>
          <w:rFonts w:hint="eastAsia"/>
          <w:szCs w:val="28"/>
        </w:rPr>
        <w:t>（</w:t>
      </w:r>
      <w:r w:rsidRPr="00846DAC">
        <w:rPr>
          <w:szCs w:val="28"/>
        </w:rPr>
        <w:t>1</w:t>
      </w:r>
      <w:r w:rsidRPr="00846DAC">
        <w:rPr>
          <w:rFonts w:hint="eastAsia"/>
          <w:szCs w:val="28"/>
        </w:rPr>
        <w:t>）用藥與</w:t>
      </w:r>
      <w:r>
        <w:rPr>
          <w:rFonts w:hint="eastAsia"/>
          <w:szCs w:val="28"/>
        </w:rPr>
        <w:t>患者同意</w:t>
      </w:r>
    </w:p>
    <w:p w:rsidR="00DB326D" w:rsidRDefault="00DB326D" w:rsidP="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Pr>
          <w:szCs w:val="28"/>
        </w:rPr>
        <w:t xml:space="preserve">     </w:t>
      </w:r>
      <w:r>
        <w:rPr>
          <w:rFonts w:hint="eastAsia"/>
          <w:szCs w:val="28"/>
        </w:rPr>
        <w:t>法院認為醫療行為必須</w:t>
      </w:r>
      <w:r w:rsidRPr="003F07A2">
        <w:rPr>
          <w:rFonts w:ascii="細明體" w:eastAsia="細明體" w:hAnsi="細明體" w:cs="細明體" w:hint="eastAsia"/>
          <w:kern w:val="0"/>
        </w:rPr>
        <w:t>採用刺穿（</w:t>
      </w:r>
      <w:r>
        <w:rPr>
          <w:rFonts w:ascii="細明體" w:eastAsia="細明體" w:hAnsi="細明體" w:cs="細明體"/>
          <w:kern w:val="0"/>
        </w:rPr>
        <w:t>puncture</w:t>
      </w:r>
      <w:r>
        <w:rPr>
          <w:rFonts w:ascii="細明體" w:eastAsia="細明體" w:hAnsi="細明體" w:cs="細明體" w:hint="eastAsia"/>
          <w:kern w:val="0"/>
        </w:rPr>
        <w:t>）</w:t>
      </w:r>
      <w:r w:rsidRPr="003F07A2">
        <w:rPr>
          <w:rFonts w:ascii="細明體" w:eastAsia="細明體" w:hAnsi="細明體" w:cs="細明體" w:hint="eastAsia"/>
          <w:kern w:val="0"/>
        </w:rPr>
        <w:t>或採用皮膚切開術（</w:t>
      </w:r>
      <w:r>
        <w:rPr>
          <w:rFonts w:ascii="細明體" w:eastAsia="細明體" w:hAnsi="細明體" w:cs="細明體"/>
          <w:kern w:val="0"/>
        </w:rPr>
        <w:t>incision off skin</w:t>
      </w:r>
      <w:r w:rsidRPr="003F07A2">
        <w:rPr>
          <w:rFonts w:ascii="細明體" w:eastAsia="細明體" w:hAnsi="細明體" w:cs="細明體" w:hint="eastAsia"/>
          <w:kern w:val="0"/>
        </w:rPr>
        <w:t>）；或將器械、外來物置入人體來從事診斷或治療之行為</w:t>
      </w:r>
      <w:r>
        <w:rPr>
          <w:rFonts w:ascii="細明體" w:eastAsia="細明體" w:hAnsi="細明體" w:cs="細明體" w:hint="eastAsia"/>
          <w:kern w:val="0"/>
        </w:rPr>
        <w:t>方屬於侵入性醫療行為，</w:t>
      </w:r>
      <w:r w:rsidRPr="003F07A2">
        <w:rPr>
          <w:rFonts w:ascii="細明體" w:eastAsia="細明體" w:hAnsi="細明體" w:cs="細明體" w:hint="eastAsia"/>
          <w:kern w:val="0"/>
        </w:rPr>
        <w:t>醫師開立藥物給予病人，尚不屬於侵入性檢查或治療之項目，</w:t>
      </w:r>
      <w:r>
        <w:rPr>
          <w:rFonts w:ascii="細明體" w:eastAsia="細明體" w:hAnsi="細明體" w:cs="細明體" w:hint="eastAsia"/>
          <w:kern w:val="0"/>
        </w:rPr>
        <w:t>因此無庸得到患者同意，然而藥物除主要治療作用外，其他副作用必然同時存在</w:t>
      </w:r>
      <w:r>
        <w:rPr>
          <w:rStyle w:val="ac"/>
          <w:rFonts w:ascii="細明體" w:eastAsia="細明體" w:hAnsi="細明體" w:cs="細明體"/>
          <w:kern w:val="0"/>
        </w:rPr>
        <w:footnoteReference w:id="113"/>
      </w:r>
      <w:r>
        <w:rPr>
          <w:rFonts w:ascii="細明體" w:eastAsia="細明體" w:hAnsi="細明體" w:cs="細明體" w:hint="eastAsia"/>
          <w:kern w:val="0"/>
        </w:rPr>
        <w:t>，就對於患者身體之生理機能影響與前開所謂刺穿、皮膚切開術比較，並無高低之分，何以用藥行為無須取得患者同意？法院並無論據。特別在藥物的治療利益與藥物不良反應可能的危險的比較，對於患者若須面臨藥害發生後可能對於身體、生命重大影響而用藥所得到的治療利益並非具有重大、急迫情形時，是否應賦予患者選擇及同意用藥之權利，方能達到尊重病人自主決定權，無論此時用藥是否屬於仿單內或外之情形。</w:t>
      </w:r>
    </w:p>
    <w:p w:rsidR="00DB326D" w:rsidRPr="00846DAC" w:rsidRDefault="00DB326D" w:rsidP="00DB326D">
      <w:pPr>
        <w:widowControl/>
        <w:spacing w:before="100" w:beforeAutospacing="1" w:after="100" w:afterAutospacing="1" w:line="240" w:lineRule="atLeast"/>
        <w:rPr>
          <w:szCs w:val="28"/>
        </w:rPr>
      </w:pPr>
      <w:r w:rsidRPr="00846DAC">
        <w:rPr>
          <w:rFonts w:hint="eastAsia"/>
          <w:szCs w:val="28"/>
        </w:rPr>
        <w:t>（</w:t>
      </w:r>
      <w:r w:rsidRPr="00846DAC">
        <w:rPr>
          <w:szCs w:val="28"/>
        </w:rPr>
        <w:t>2</w:t>
      </w:r>
      <w:r w:rsidRPr="00846DAC">
        <w:rPr>
          <w:rFonts w:hint="eastAsia"/>
          <w:szCs w:val="28"/>
        </w:rPr>
        <w:t>）仿單外使用之適當性與告知後同意原則</w:t>
      </w:r>
    </w:p>
    <w:p w:rsidR="00DB326D" w:rsidRPr="00A91420" w:rsidRDefault="00DB326D" w:rsidP="00DB326D">
      <w:pPr>
        <w:widowControl/>
        <w:spacing w:before="100" w:beforeAutospacing="1" w:after="100" w:afterAutospacing="1"/>
        <w:rPr>
          <w:szCs w:val="28"/>
        </w:rPr>
      </w:pPr>
      <w:r>
        <w:rPr>
          <w:rFonts w:eastAsia="MS Mincho"/>
          <w:szCs w:val="28"/>
        </w:rPr>
        <w:t xml:space="preserve">    </w:t>
      </w:r>
      <w:r>
        <w:rPr>
          <w:rFonts w:hint="eastAsia"/>
          <w:szCs w:val="28"/>
        </w:rPr>
        <w:t>法院認為因仿單外使用之副作用是不可預見而無庸醫師說明，並且用藥符合醫學常規，且與患者身體之損害不具因果關係，故醫師有無說明不影響醫療行為之適法性，然而具有用藥適當性是仿單外使用的前提，沒有醫學文獻或科學上理由支持的仿單外使用，憑藉醫師的創意發想，既無完整研究計劃，亦無</w:t>
      </w:r>
      <w:r>
        <w:rPr>
          <w:szCs w:val="28"/>
        </w:rPr>
        <w:t>IRB</w:t>
      </w:r>
      <w:r>
        <w:rPr>
          <w:rFonts w:hint="eastAsia"/>
          <w:szCs w:val="28"/>
        </w:rPr>
        <w:t>審查機制把關，自不能依告知後同意將用藥風險轉移給病人，應直接認為醫師之用藥違反注意義務。因此，具有仿單外使用之適當性，並不能成為說明義務免除之理由，況且依前所述，說明義務之類型中基於病人自主選擇權之說明，本與用藥後所產生之損害是否具有因果關係無涉，故不得將有無損害因果關係當作是否負擔說明義務之依據。本案仿單外使用類型為違反仿單建議禁忌症用藥，仿單上所記</w:t>
      </w:r>
      <w:r>
        <w:rPr>
          <w:rFonts w:hint="eastAsia"/>
          <w:szCs w:val="28"/>
        </w:rPr>
        <w:lastRenderedPageBreak/>
        <w:t>載禁忌症事宜乃係經過人體試驗、藥理學所得患者在特別生理狀況下，使用該藥物本身產生副作用大於治療作用，因此建議避免使用，醫師本應針對為何仿單已建議患者具有不宜使用之禁忌症情形而仍冒險用藥，用藥的利益與風險的衡量為何應加以說明以供患者決定，或者有何緊急情形不及說明，而非以藥物副作用能否預見作為免除說明義務之理由。</w:t>
      </w:r>
    </w:p>
    <w:p w:rsidR="00DB326D" w:rsidRPr="006F04BB" w:rsidRDefault="00DB326D" w:rsidP="00DB326D">
      <w:pPr>
        <w:widowControl/>
        <w:spacing w:before="100" w:beforeAutospacing="1" w:after="100" w:afterAutospacing="1"/>
        <w:rPr>
          <w:sz w:val="28"/>
          <w:szCs w:val="28"/>
        </w:rPr>
      </w:pPr>
      <w:r w:rsidRPr="006F04BB">
        <w:rPr>
          <w:rFonts w:hint="eastAsia"/>
          <w:sz w:val="28"/>
          <w:szCs w:val="28"/>
        </w:rPr>
        <w:t>陸、我國與美國仿單外使用管制之比較─代結論</w:t>
      </w:r>
    </w:p>
    <w:p w:rsidR="00DB326D" w:rsidRDefault="00DB326D" w:rsidP="00DB326D">
      <w:pPr>
        <w:widowControl/>
        <w:spacing w:before="100" w:beforeAutospacing="1" w:after="100" w:afterAutospacing="1"/>
        <w:rPr>
          <w:szCs w:val="28"/>
        </w:rPr>
      </w:pPr>
      <w:r>
        <w:rPr>
          <w:rFonts w:hint="eastAsia"/>
          <w:szCs w:val="28"/>
        </w:rPr>
        <w:t>一、管制對象的選擇</w:t>
      </w:r>
    </w:p>
    <w:p w:rsidR="00DB326D" w:rsidRDefault="00DB326D" w:rsidP="00DB326D">
      <w:pPr>
        <w:widowControl/>
        <w:spacing w:before="100" w:beforeAutospacing="1" w:after="100" w:afterAutospacing="1"/>
        <w:rPr>
          <w:szCs w:val="28"/>
        </w:rPr>
      </w:pPr>
      <w:r>
        <w:rPr>
          <w:szCs w:val="28"/>
        </w:rPr>
        <w:t xml:space="preserve">    </w:t>
      </w:r>
      <w:r>
        <w:rPr>
          <w:rFonts w:hint="eastAsia"/>
          <w:szCs w:val="28"/>
        </w:rPr>
        <w:t>美國針對藥物仿單外使用的管制根本的前提是尊重醫師用藥選擇之自由，對於醫師使用合法上市藥物之用途不加以限制，不認為藥物仿單外使用為非正當用藥，主要管制對象落在藥商身上，主要理由係避免藥商在藥品行銷時之不當手段污染醫師的用藥判斷，例如提供不正確仿單外使用之醫療資訊或仿單外使用給予不正當利益；我國對於藥物仿單外使用首先即判斷為非正當用藥，管制對象鎖定為處方者即醫師，因此限制醫師在特定條件方得仿單外使用，但對於藥商之藥物行銷行為，則依賴藥商自律行為而未介入管制。</w:t>
      </w:r>
    </w:p>
    <w:p w:rsidR="00DB326D" w:rsidRDefault="00DB326D" w:rsidP="00DB326D">
      <w:pPr>
        <w:widowControl/>
        <w:spacing w:before="100" w:beforeAutospacing="1" w:after="100" w:afterAutospacing="1"/>
        <w:rPr>
          <w:szCs w:val="28"/>
        </w:rPr>
      </w:pPr>
      <w:r>
        <w:rPr>
          <w:rFonts w:hint="eastAsia"/>
          <w:szCs w:val="28"/>
        </w:rPr>
        <w:t>二、管制手段的選擇</w:t>
      </w:r>
    </w:p>
    <w:p w:rsidR="00DB326D" w:rsidRDefault="00DB326D" w:rsidP="00DB326D">
      <w:pPr>
        <w:widowControl/>
        <w:spacing w:before="100" w:beforeAutospacing="1" w:after="100" w:afterAutospacing="1"/>
        <w:rPr>
          <w:szCs w:val="28"/>
        </w:rPr>
      </w:pPr>
      <w:r>
        <w:rPr>
          <w:szCs w:val="28"/>
        </w:rPr>
        <w:t xml:space="preserve">    </w:t>
      </w:r>
      <w:r>
        <w:rPr>
          <w:rFonts w:hint="eastAsia"/>
          <w:szCs w:val="28"/>
        </w:rPr>
        <w:t>美國首先透過管制或審查藥商提供仿單外使用資訊給醫師，特別是對於仿單外使用所支持之醫學文獻的品質與來源詳加規定，去防止不當干擾醫師用藥判斷，再透過</w:t>
      </w:r>
      <w:r>
        <w:rPr>
          <w:szCs w:val="28"/>
        </w:rPr>
        <w:t>FCA</w:t>
      </w:r>
      <w:r>
        <w:rPr>
          <w:rFonts w:hint="eastAsia"/>
          <w:szCs w:val="28"/>
        </w:rPr>
        <w:t>法案及排除參與國家資助醫療保險計劃資格之法律效果，藉此箝制不當行銷之藥商自動與</w:t>
      </w:r>
      <w:r>
        <w:rPr>
          <w:szCs w:val="28"/>
        </w:rPr>
        <w:t>FDA</w:t>
      </w:r>
      <w:r>
        <w:rPr>
          <w:rFonts w:hint="eastAsia"/>
          <w:szCs w:val="28"/>
        </w:rPr>
        <w:t>和解，減少健康保險上醫療費用詐欺，並且簽立</w:t>
      </w:r>
      <w:r>
        <w:rPr>
          <w:szCs w:val="28"/>
        </w:rPr>
        <w:t>CIA</w:t>
      </w:r>
      <w:r>
        <w:rPr>
          <w:rFonts w:hint="eastAsia"/>
          <w:szCs w:val="28"/>
        </w:rPr>
        <w:t>達成高標之企業內部自律，使藥商遵守</w:t>
      </w:r>
      <w:r>
        <w:rPr>
          <w:szCs w:val="28"/>
        </w:rPr>
        <w:t>FDA</w:t>
      </w:r>
      <w:r>
        <w:rPr>
          <w:rFonts w:hint="eastAsia"/>
          <w:szCs w:val="28"/>
        </w:rPr>
        <w:t>對於藥物仿單外使用之行銷規範，對於醫師仿單外使用之用藥絕大部分州在醫療保險或輔助計劃是加以償付。我國則偏重於限制醫師仿單外使用，除非具有仿單外使用之正當性與適當性，並且透過說明義務，方可為仿單外使用用藥，但風險由患者自行承擔排除藥害救濟之適用，並且費用亦應自行承擔，全民健康保險不予支付。但對於醫師用藥適當性所憑之醫學文獻品質並未加以規範，對於藥商仿單之變更或不當仿單外使用行銷，均未見管制手段，且醫師透過健保申請給付方式之簡化而「偷渡」藥物仿單外使用費用申請，因而產生之健保詐欺亦未見主管機關運用刑事手段介入管制。</w:t>
      </w:r>
    </w:p>
    <w:p w:rsidR="00DB326D" w:rsidRDefault="00DB326D" w:rsidP="00DB326D">
      <w:pPr>
        <w:widowControl/>
        <w:numPr>
          <w:ilvl w:val="0"/>
          <w:numId w:val="2"/>
        </w:numPr>
        <w:spacing w:before="100" w:beforeAutospacing="1" w:after="100" w:afterAutospacing="1"/>
        <w:rPr>
          <w:szCs w:val="28"/>
        </w:rPr>
      </w:pPr>
      <w:r>
        <w:rPr>
          <w:rFonts w:hint="eastAsia"/>
          <w:szCs w:val="28"/>
        </w:rPr>
        <w:t>告知後同意之適用</w:t>
      </w:r>
    </w:p>
    <w:p w:rsidR="00DB326D" w:rsidRDefault="00DB326D" w:rsidP="00DB326D">
      <w:pPr>
        <w:widowControl/>
        <w:spacing w:before="100" w:beforeAutospacing="1" w:after="100" w:afterAutospacing="1"/>
        <w:rPr>
          <w:szCs w:val="28"/>
        </w:rPr>
      </w:pPr>
      <w:r>
        <w:rPr>
          <w:szCs w:val="28"/>
        </w:rPr>
        <w:t xml:space="preserve">    </w:t>
      </w:r>
      <w:r>
        <w:rPr>
          <w:rFonts w:hint="eastAsia"/>
          <w:szCs w:val="28"/>
        </w:rPr>
        <w:t>美國基於尊重醫師用藥選擇之自主，故在法院看法認為藥物核准之適應症是藥品行政管理之地位，並非屬於醫師所必須揭露醫療上訊息之部分</w:t>
      </w:r>
      <w:r>
        <w:rPr>
          <w:rStyle w:val="ac"/>
          <w:szCs w:val="28"/>
        </w:rPr>
        <w:footnoteReference w:id="114"/>
      </w:r>
      <w:r>
        <w:rPr>
          <w:rFonts w:hint="eastAsia"/>
          <w:szCs w:val="28"/>
        </w:rPr>
        <w:t>，是否為核</w:t>
      </w:r>
      <w:r>
        <w:rPr>
          <w:rFonts w:hint="eastAsia"/>
          <w:szCs w:val="28"/>
        </w:rPr>
        <w:lastRenderedPageBreak/>
        <w:t>准適應症用藥本身即無庸說明（但非指一般用藥之安全性與有效性無庸說明），但有學界有不一樣看法認為從實證研究仿單外使用所憑之基礎安全性與有效性並非可靠，並且醫師與藥商、患者間因用藥可能有的利益衝突，仿單外使用應有告知後同意原則之適用。我國則由行政機關明文函示仿單核准適應症外使用醫師須加以說明，法院有部分直接肯定仿單外使用醫師應負說明義務，但就說明義務之內容行政主管機關未有明文，法院的見解亦未見統一，有認為仿單核准適應症外用藥本身應說明，並且包括有其他核准適應症藥物之替代性治療應說明，亦有針對應說明是藥物之安全性，另外仿單外使用除應說明外，是否經患者同意，亦有肯定說與否定說二派見解，對於違反說明義務的法律效果亦有不同看法，有認為與過失行為之注意義務違反有關，亦有認為說明義務之違反與身體權之侵害無涉。亦有部分法院直接否定仿單外使用有說明義務之適用，更無患者同意與否之問題。</w:t>
      </w:r>
    </w:p>
    <w:p w:rsidR="00DB326D" w:rsidRDefault="00DB326D" w:rsidP="00DB326D">
      <w:pPr>
        <w:widowControl/>
        <w:numPr>
          <w:ilvl w:val="0"/>
          <w:numId w:val="2"/>
        </w:numPr>
        <w:spacing w:before="100" w:beforeAutospacing="1" w:after="100" w:afterAutospacing="1"/>
        <w:rPr>
          <w:szCs w:val="28"/>
        </w:rPr>
      </w:pPr>
      <w:r>
        <w:rPr>
          <w:rFonts w:hint="eastAsia"/>
          <w:szCs w:val="28"/>
        </w:rPr>
        <w:t>仿單外使用之訴訟</w:t>
      </w:r>
    </w:p>
    <w:p w:rsidR="00DB326D" w:rsidRDefault="00DB326D" w:rsidP="00DB326D">
      <w:pPr>
        <w:widowControl/>
        <w:spacing w:after="100" w:afterAutospacing="1"/>
        <w:rPr>
          <w:rFonts w:hint="eastAsia"/>
        </w:rPr>
      </w:pPr>
      <w:r>
        <w:rPr>
          <w:szCs w:val="28"/>
        </w:rPr>
        <w:t xml:space="preserve">    </w:t>
      </w:r>
      <w:r>
        <w:rPr>
          <w:rFonts w:hint="eastAsia"/>
          <w:szCs w:val="28"/>
        </w:rPr>
        <w:t>美國仿單外使用所引起的訴訟，有針對藥商基於</w:t>
      </w:r>
      <w:r>
        <w:rPr>
          <w:szCs w:val="28"/>
        </w:rPr>
        <w:t>FCA</w:t>
      </w:r>
      <w:r>
        <w:rPr>
          <w:rFonts w:hint="eastAsia"/>
          <w:szCs w:val="28"/>
        </w:rPr>
        <w:t>法案提起之醫療費用詐欺類型，原告不限是患者或於該用藥有利害關係者，求償款項與聯邦政府依</w:t>
      </w:r>
      <w:r w:rsidRPr="004B0FB9">
        <w:t>25%-30%</w:t>
      </w:r>
      <w:r>
        <w:rPr>
          <w:rFonts w:hint="eastAsia"/>
        </w:rPr>
        <w:t>比例分配；仿單外使用亦可能引起患者對藥商依商品責任疏於警告之訴因請求，但因專業中介人規則及法律先占理論，藥商往往全身而退；再者，患者因仿單外使用受有損害而對醫師請求醫療過失賠償，亦屬常見，惟爭議著重於仿單之記載在醫療過失中對於注意義務之形成之角色，有直接認為是直接形成注意義務之表面證據；有認為構成注意義務之部分證據，須加上專家證人證詞；有認為不應構成注意義務。在我國仿單外使用引起之訴訟，有患者依藥害救濟請求補償，通常以非正當用藥而駁回救濟進而提起行政訴訟，而法院亦認為仿單外使用非依許可證記載之適應症用藥非屬正當，而不予救濟。另外，患者因仿單外使用所受損害可能轉向醫師請求侵權行為醫療過失或醫療契約債務不履行賠償，法院通常聚焦在前開所述有無告知後同意之適用及用藥適當性，並未針對仿單上之記載是否形成注意義務作論述。最後在我國並無仿單外使用向藥商提起訴訟之案例，亦與美國訴訟類型有所差異。</w:t>
      </w:r>
    </w:p>
    <w:p w:rsidR="00DB326D" w:rsidRDefault="00DB326D" w:rsidP="00DB326D">
      <w:pPr>
        <w:widowControl/>
        <w:spacing w:after="100" w:afterAutospacing="1"/>
      </w:pPr>
      <w:r>
        <w:rPr>
          <w:rFonts w:hint="eastAsia"/>
        </w:rPr>
        <w:t>五、結語</w:t>
      </w:r>
    </w:p>
    <w:p w:rsidR="00DB326D" w:rsidRDefault="00DB326D" w:rsidP="00DB326D">
      <w:pPr>
        <w:autoSpaceDE w:val="0"/>
        <w:autoSpaceDN w:val="0"/>
        <w:adjustRightInd w:val="0"/>
        <w:spacing w:line="240" w:lineRule="atLeast"/>
        <w:ind w:firstLine="560"/>
        <w:rPr>
          <w:rFonts w:cs="新細明體"/>
          <w:szCs w:val="28"/>
          <w:lang w:val="zh-TW"/>
        </w:rPr>
      </w:pPr>
      <w:r>
        <w:rPr>
          <w:rFonts w:hint="eastAsia"/>
        </w:rPr>
        <w:t>美國對於仿單外之管制原則上掌握一個重點，就是避免醫師仿單外使用是遭不正當外力所影響，因此，著重於藥廠提供不正確的仿單外使用資訊或以不正當的促銷影響醫師開藥的決定，故就仿單外使用管制之對象反而係以藥廠為主，管制的行為係避免藥廠與醫師不正當的接觸或誘惑，致影響醫師之用藥判斷，但對於醫師如何用藥原則上是不加以限制，只要其本於其專業知識、或經驗、閱讀醫學文獻而認為係對於患者最佳利益的治療即可。而我國的管制乃著重於醫師身上，基本上否認有醫師用藥選擇之自主裁量空間，且行政管制手段粗糙僅以一份</w:t>
      </w:r>
      <w:r>
        <w:rPr>
          <w:rFonts w:hint="eastAsia"/>
        </w:rPr>
        <w:lastRenderedPageBreak/>
        <w:t>語焉不詳的函示即草草了事，並與健保給付項目有違，而法院對於仿單外使用之用藥本質與說明義務法理基礎亦未詳細論述，導致仿單外使用興訟之結果繫於運氣好壞，尚有極大進步空間。本文提出美國</w:t>
      </w:r>
      <w:r w:rsidRPr="00501298">
        <w:rPr>
          <w:rFonts w:cs="標楷體" w:hint="eastAsia"/>
          <w:szCs w:val="28"/>
          <w:lang w:val="zh-TW"/>
        </w:rPr>
        <w:t>就</w:t>
      </w:r>
      <w:r>
        <w:rPr>
          <w:rFonts w:cs="標楷體" w:hint="eastAsia"/>
          <w:szCs w:val="28"/>
          <w:lang w:val="zh-TW"/>
        </w:rPr>
        <w:t>仿單外使用管制</w:t>
      </w:r>
      <w:r w:rsidRPr="00501298">
        <w:rPr>
          <w:rFonts w:cs="標楷體" w:hint="eastAsia"/>
          <w:szCs w:val="28"/>
          <w:lang w:val="zh-TW"/>
        </w:rPr>
        <w:t>之</w:t>
      </w:r>
      <w:r>
        <w:rPr>
          <w:rFonts w:cs="標楷體" w:hint="eastAsia"/>
          <w:szCs w:val="28"/>
          <w:lang w:val="zh-TW"/>
        </w:rPr>
        <w:t>模式</w:t>
      </w:r>
      <w:r w:rsidRPr="00501298">
        <w:rPr>
          <w:rFonts w:cs="標楷體" w:hint="eastAsia"/>
          <w:szCs w:val="28"/>
          <w:lang w:val="zh-TW"/>
        </w:rPr>
        <w:t>，希望實務界及學界能在此</w:t>
      </w:r>
      <w:r>
        <w:rPr>
          <w:rFonts w:cs="標楷體" w:hint="eastAsia"/>
          <w:szCs w:val="28"/>
          <w:lang w:val="zh-TW"/>
        </w:rPr>
        <w:t>醫療實務普遍存在之現況下</w:t>
      </w:r>
      <w:r w:rsidRPr="00501298">
        <w:rPr>
          <w:rFonts w:cs="標楷體" w:hint="eastAsia"/>
          <w:szCs w:val="28"/>
          <w:lang w:val="zh-TW"/>
        </w:rPr>
        <w:t>，更加充實</w:t>
      </w:r>
      <w:r>
        <w:rPr>
          <w:rFonts w:cs="標楷體" w:hint="eastAsia"/>
          <w:szCs w:val="28"/>
          <w:lang w:val="zh-TW"/>
        </w:rPr>
        <w:t>管制手段及區分仿單外使用之實證基礎不同給與程度不同之管制</w:t>
      </w:r>
      <w:r w:rsidRPr="00501298">
        <w:rPr>
          <w:rFonts w:cs="標楷體" w:hint="eastAsia"/>
          <w:szCs w:val="28"/>
          <w:lang w:val="zh-TW"/>
        </w:rPr>
        <w:t>，達成醫療服務最大效益，進而避免醫療糾紛之發生。</w:t>
      </w:r>
      <w:r w:rsidRPr="00501298">
        <w:rPr>
          <w:rFonts w:cs="新細明體"/>
          <w:szCs w:val="28"/>
          <w:lang w:val="zh-TW"/>
        </w:rPr>
        <w:t xml:space="preserve"> </w:t>
      </w: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Default="00DB326D" w:rsidP="00DB326D">
      <w:pPr>
        <w:autoSpaceDE w:val="0"/>
        <w:autoSpaceDN w:val="0"/>
        <w:adjustRightInd w:val="0"/>
        <w:spacing w:line="240" w:lineRule="atLeast"/>
        <w:ind w:firstLine="560"/>
        <w:rPr>
          <w:rFonts w:cs="新細明體"/>
          <w:szCs w:val="28"/>
          <w:lang w:val="zh-TW"/>
        </w:rPr>
      </w:pPr>
    </w:p>
    <w:p w:rsidR="00DB326D" w:rsidRPr="009800B8" w:rsidRDefault="00DB326D" w:rsidP="00DB326D">
      <w:pPr>
        <w:rPr>
          <w:sz w:val="32"/>
          <w:szCs w:val="32"/>
        </w:rPr>
      </w:pPr>
      <w:r w:rsidRPr="009800B8">
        <w:rPr>
          <w:sz w:val="32"/>
          <w:szCs w:val="32"/>
        </w:rPr>
        <w:t>A COMPARATIVE PERSPECTIVE ON REGULATING OFF-LABEL U</w:t>
      </w:r>
      <w:r>
        <w:rPr>
          <w:sz w:val="32"/>
          <w:szCs w:val="32"/>
        </w:rPr>
        <w:t>SE</w:t>
      </w:r>
      <w:r w:rsidRPr="009800B8">
        <w:rPr>
          <w:sz w:val="32"/>
          <w:szCs w:val="32"/>
        </w:rPr>
        <w:t xml:space="preserve"> </w:t>
      </w:r>
      <w:r>
        <w:rPr>
          <w:sz w:val="32"/>
          <w:szCs w:val="32"/>
        </w:rPr>
        <w:t>OF</w:t>
      </w:r>
      <w:r w:rsidRPr="009800B8">
        <w:rPr>
          <w:sz w:val="32"/>
          <w:szCs w:val="32"/>
        </w:rPr>
        <w:t xml:space="preserve"> D</w:t>
      </w:r>
      <w:r>
        <w:rPr>
          <w:sz w:val="32"/>
          <w:szCs w:val="32"/>
        </w:rPr>
        <w:t>RUGS</w:t>
      </w:r>
      <w:r w:rsidRPr="009800B8">
        <w:rPr>
          <w:rFonts w:hint="eastAsia"/>
          <w:sz w:val="32"/>
          <w:szCs w:val="32"/>
        </w:rPr>
        <w:t>：</w:t>
      </w:r>
      <w:r w:rsidRPr="009800B8">
        <w:rPr>
          <w:sz w:val="32"/>
          <w:szCs w:val="32"/>
        </w:rPr>
        <w:t>The Case of Taiwan and U.S</w:t>
      </w:r>
    </w:p>
    <w:p w:rsidR="00DB326D" w:rsidRPr="00650EDD" w:rsidRDefault="00DB326D" w:rsidP="00DB326D">
      <w:pPr>
        <w:rPr>
          <w:sz w:val="28"/>
          <w:szCs w:val="28"/>
        </w:rPr>
      </w:pPr>
      <w:r>
        <w:rPr>
          <w:sz w:val="28"/>
          <w:szCs w:val="28"/>
        </w:rPr>
        <w:t xml:space="preserve">                        Abstract</w:t>
      </w:r>
    </w:p>
    <w:p w:rsidR="00DB326D" w:rsidRDefault="00DB326D" w:rsidP="00DB326D">
      <w:pPr>
        <w:rPr>
          <w:rFonts w:eastAsia="MS Mincho"/>
          <w:lang w:eastAsia="ja-JP"/>
        </w:rPr>
      </w:pPr>
      <w:r>
        <w:rPr>
          <w:rFonts w:eastAsia="MS Mincho"/>
          <w:lang w:eastAsia="ja-JP"/>
        </w:rPr>
        <w:lastRenderedPageBreak/>
        <w:t>O</w:t>
      </w:r>
      <w:r w:rsidRPr="003D1DD8">
        <w:rPr>
          <w:rFonts w:eastAsia="MS Mincho"/>
          <w:lang w:eastAsia="ja-JP"/>
        </w:rPr>
        <w:t>ff-label use</w:t>
      </w:r>
      <w:r>
        <w:rPr>
          <w:rFonts w:eastAsia="MS Mincho"/>
          <w:lang w:eastAsia="ja-JP"/>
        </w:rPr>
        <w:t xml:space="preserve"> of drugs</w:t>
      </w:r>
      <w:r w:rsidRPr="003D1DD8">
        <w:rPr>
          <w:rFonts w:eastAsia="MS Mincho"/>
          <w:lang w:eastAsia="ja-JP"/>
        </w:rPr>
        <w:t xml:space="preserve"> is a common medical practice in</w:t>
      </w:r>
      <w:r>
        <w:rPr>
          <w:rFonts w:eastAsia="MS Mincho"/>
          <w:lang w:eastAsia="ja-JP"/>
        </w:rPr>
        <w:t xml:space="preserve"> Taiwan and </w:t>
      </w:r>
      <w:r w:rsidRPr="003D1DD8">
        <w:rPr>
          <w:rFonts w:eastAsia="MS Mincho"/>
          <w:lang w:eastAsia="ja-JP"/>
        </w:rPr>
        <w:t>the United States</w:t>
      </w:r>
      <w:r>
        <w:rPr>
          <w:rFonts w:eastAsia="MS Mincho"/>
          <w:lang w:eastAsia="ja-JP"/>
        </w:rPr>
        <w:t>.</w:t>
      </w:r>
    </w:p>
    <w:p w:rsidR="00DB326D" w:rsidRDefault="00DB326D" w:rsidP="00DB326D">
      <w:r w:rsidRPr="00885C8A">
        <w:rPr>
          <w:rFonts w:eastAsia="MS Mincho"/>
          <w:lang w:eastAsia="ja-JP"/>
        </w:rPr>
        <w:t xml:space="preserve">Although physicians </w:t>
      </w:r>
      <w:r>
        <w:rPr>
          <w:rFonts w:eastAsia="MS Mincho"/>
          <w:lang w:eastAsia="ja-JP"/>
        </w:rPr>
        <w:t>in the</w:t>
      </w:r>
      <w:r w:rsidRPr="00A71814">
        <w:rPr>
          <w:rFonts w:eastAsia="MS Mincho"/>
          <w:lang w:eastAsia="ja-JP"/>
        </w:rPr>
        <w:t xml:space="preserve"> </w:t>
      </w:r>
      <w:r w:rsidRPr="003D1DD8">
        <w:rPr>
          <w:rFonts w:eastAsia="MS Mincho"/>
          <w:lang w:eastAsia="ja-JP"/>
        </w:rPr>
        <w:t>United States</w:t>
      </w:r>
      <w:r w:rsidRPr="007F33B5">
        <w:t xml:space="preserve"> </w:t>
      </w:r>
      <w:r w:rsidRPr="007F33B5">
        <w:rPr>
          <w:rFonts w:eastAsia="MS Mincho"/>
          <w:lang w:eastAsia="ja-JP"/>
        </w:rPr>
        <w:t>may legally prescribe a medication for use in a manner different from that approved by the FDA</w:t>
      </w:r>
      <w:r w:rsidRPr="00885C8A">
        <w:rPr>
          <w:rFonts w:eastAsia="MS Mincho"/>
          <w:lang w:eastAsia="ja-JP"/>
        </w:rPr>
        <w:t xml:space="preserve">, </w:t>
      </w:r>
      <w:r w:rsidRPr="002D78BE">
        <w:rPr>
          <w:rFonts w:eastAsia="MS Mincho"/>
          <w:lang w:eastAsia="ja-JP"/>
        </w:rPr>
        <w:t xml:space="preserve">off-label promotion </w:t>
      </w:r>
      <w:r>
        <w:rPr>
          <w:rFonts w:eastAsia="MS Mincho"/>
          <w:lang w:eastAsia="ja-JP"/>
        </w:rPr>
        <w:t>by</w:t>
      </w:r>
      <w:r w:rsidRPr="007F33B5">
        <w:rPr>
          <w:rFonts w:eastAsia="MS Mincho"/>
          <w:lang w:eastAsia="ja-JP"/>
        </w:rPr>
        <w:t xml:space="preserve"> </w:t>
      </w:r>
      <w:r w:rsidRPr="002400A9">
        <w:rPr>
          <w:rFonts w:eastAsia="MS Mincho"/>
          <w:lang w:eastAsia="ja-JP"/>
        </w:rPr>
        <w:t>pharmaceutical manufacturers</w:t>
      </w:r>
      <w:r>
        <w:rPr>
          <w:rFonts w:eastAsia="MS Mincho"/>
          <w:lang w:eastAsia="ja-JP"/>
        </w:rPr>
        <w:t xml:space="preserve"> </w:t>
      </w:r>
      <w:r w:rsidRPr="002D78BE">
        <w:rPr>
          <w:rFonts w:eastAsia="MS Mincho"/>
          <w:lang w:eastAsia="ja-JP"/>
        </w:rPr>
        <w:t>is illegal</w:t>
      </w:r>
      <w:r>
        <w:rPr>
          <w:rFonts w:eastAsia="MS Mincho"/>
          <w:lang w:eastAsia="ja-JP"/>
        </w:rPr>
        <w:t>.</w:t>
      </w:r>
      <w:r w:rsidRPr="00885C8A">
        <w:rPr>
          <w:rFonts w:eastAsia="MS Mincho"/>
          <w:lang w:eastAsia="ja-JP"/>
        </w:rPr>
        <w:t xml:space="preserve"> </w:t>
      </w:r>
      <w:r>
        <w:t>I</w:t>
      </w:r>
      <w:r>
        <w:rPr>
          <w:rFonts w:eastAsia="MS Mincho"/>
          <w:lang w:eastAsia="ja-JP"/>
        </w:rPr>
        <w:t>n the</w:t>
      </w:r>
      <w:r w:rsidRPr="00A71814">
        <w:rPr>
          <w:rFonts w:eastAsia="MS Mincho"/>
          <w:lang w:eastAsia="ja-JP"/>
        </w:rPr>
        <w:t xml:space="preserve"> </w:t>
      </w:r>
      <w:r w:rsidRPr="003D1DD8">
        <w:rPr>
          <w:rFonts w:eastAsia="MS Mincho"/>
          <w:lang w:eastAsia="ja-JP"/>
        </w:rPr>
        <w:t>United States</w:t>
      </w:r>
      <w:r>
        <w:t>, a</w:t>
      </w:r>
      <w:r w:rsidRPr="00BC084D">
        <w:rPr>
          <w:rFonts w:eastAsia="MS Mincho"/>
          <w:lang w:eastAsia="ja-JP"/>
        </w:rPr>
        <w:t xml:space="preserve"> physician's freedom to prescribe drugs in an off-label manner has several advantages. </w:t>
      </w:r>
      <w:r w:rsidRPr="009F6287">
        <w:rPr>
          <w:rFonts w:eastAsia="MS Mincho"/>
          <w:lang w:eastAsia="ja-JP"/>
        </w:rPr>
        <w:t xml:space="preserve">However, </w:t>
      </w:r>
      <w:r>
        <w:t>off-label use of drugs</w:t>
      </w:r>
      <w:r w:rsidRPr="009F6287">
        <w:rPr>
          <w:rFonts w:eastAsia="MS Mincho"/>
          <w:lang w:eastAsia="ja-JP"/>
        </w:rPr>
        <w:t xml:space="preserve"> is also practiced based on anecdotal data with little to no scientific</w:t>
      </w:r>
      <w:r>
        <w:t xml:space="preserve"> or</w:t>
      </w:r>
      <w:r w:rsidRPr="009F6287">
        <w:rPr>
          <w:rFonts w:eastAsia="MS Mincho"/>
          <w:lang w:eastAsia="ja-JP"/>
        </w:rPr>
        <w:t xml:space="preserve"> </w:t>
      </w:r>
      <w:r>
        <w:t xml:space="preserve">medical </w:t>
      </w:r>
      <w:r w:rsidRPr="009F6287">
        <w:rPr>
          <w:rFonts w:eastAsia="MS Mincho"/>
          <w:lang w:eastAsia="ja-JP"/>
        </w:rPr>
        <w:t>support.</w:t>
      </w:r>
      <w:r>
        <w:t xml:space="preserve"> </w:t>
      </w:r>
      <w:r>
        <w:rPr>
          <w:rFonts w:eastAsia="MS Mincho"/>
          <w:lang w:eastAsia="ja-JP"/>
        </w:rPr>
        <w:t>T</w:t>
      </w:r>
      <w:r w:rsidRPr="00885C8A">
        <w:rPr>
          <w:rFonts w:eastAsia="MS Mincho"/>
          <w:lang w:eastAsia="ja-JP"/>
        </w:rPr>
        <w:t>he federal regulatory system imposes constraints that affect off-label use</w:t>
      </w:r>
      <w:r>
        <w:t xml:space="preserve"> t</w:t>
      </w:r>
      <w:r>
        <w:rPr>
          <w:rFonts w:eastAsia="MS Mincho"/>
          <w:lang w:eastAsia="ja-JP"/>
        </w:rPr>
        <w:t>hrough e</w:t>
      </w:r>
      <w:r w:rsidRPr="006509DE">
        <w:rPr>
          <w:rFonts w:eastAsia="MS Mincho"/>
          <w:lang w:eastAsia="ja-JP"/>
        </w:rPr>
        <w:t xml:space="preserve">nforcement actions under the False Claims Act (“FCA”) against pharmaceutical manufacturers for off-label marketing practices </w:t>
      </w:r>
      <w:r>
        <w:rPr>
          <w:rFonts w:eastAsia="MS Mincho"/>
          <w:lang w:eastAsia="ja-JP"/>
        </w:rPr>
        <w:t xml:space="preserve">This article </w:t>
      </w:r>
      <w:r w:rsidRPr="006D39C8">
        <w:rPr>
          <w:rFonts w:eastAsia="MS Mincho"/>
          <w:lang w:eastAsia="ja-JP"/>
        </w:rPr>
        <w:t xml:space="preserve">also discusses that the </w:t>
      </w:r>
      <w:r>
        <w:t>control</w:t>
      </w:r>
      <w:r w:rsidRPr="006D39C8">
        <w:rPr>
          <w:rFonts w:eastAsia="MS Mincho"/>
          <w:lang w:eastAsia="ja-JP"/>
        </w:rPr>
        <w:t xml:space="preserve"> strategy - based on the False Claims Act</w:t>
      </w:r>
      <w:r>
        <w:rPr>
          <w:rFonts w:eastAsia="MS Mincho"/>
          <w:lang w:eastAsia="ja-JP"/>
        </w:rPr>
        <w:t xml:space="preserve"> and</w:t>
      </w:r>
      <w:r w:rsidRPr="006A4317">
        <w:rPr>
          <w:rFonts w:eastAsia="MS Mincho"/>
          <w:lang w:eastAsia="ja-JP"/>
        </w:rPr>
        <w:t xml:space="preserve"> </w:t>
      </w:r>
      <w:r>
        <w:t xml:space="preserve">drug’s label be </w:t>
      </w:r>
      <w:r w:rsidRPr="006A4317">
        <w:rPr>
          <w:rFonts w:eastAsia="MS Mincho"/>
          <w:lang w:eastAsia="ja-JP"/>
        </w:rPr>
        <w:t>admitted as evidence of either the standard of care or the physician's alleged breach of that standard</w:t>
      </w:r>
      <w:r>
        <w:t xml:space="preserve"> </w:t>
      </w:r>
      <w:r>
        <w:rPr>
          <w:rFonts w:eastAsia="MS Mincho"/>
          <w:lang w:eastAsia="ja-JP"/>
        </w:rPr>
        <w:t xml:space="preserve">in </w:t>
      </w:r>
      <w:r w:rsidRPr="003B6059">
        <w:t>off-label medical malpractice cases</w:t>
      </w:r>
      <w:r>
        <w:rPr>
          <w:rFonts w:eastAsia="MS Mincho"/>
          <w:lang w:eastAsia="ja-JP"/>
        </w:rPr>
        <w:t>.</w:t>
      </w:r>
      <w:r w:rsidRPr="00FA6E76">
        <w:rPr>
          <w:rFonts w:eastAsia="MS Mincho"/>
          <w:lang w:eastAsia="ja-JP"/>
        </w:rPr>
        <w:t xml:space="preserve"> </w:t>
      </w:r>
      <w:r w:rsidRPr="00356477">
        <w:rPr>
          <w:rFonts w:eastAsia="MS Mincho"/>
          <w:lang w:eastAsia="ja-JP"/>
        </w:rPr>
        <w:t xml:space="preserve">The few courts </w:t>
      </w:r>
      <w:r>
        <w:rPr>
          <w:rFonts w:eastAsia="MS Mincho"/>
          <w:lang w:eastAsia="ja-JP"/>
        </w:rPr>
        <w:t>in the</w:t>
      </w:r>
      <w:r w:rsidRPr="00A71814">
        <w:rPr>
          <w:rFonts w:eastAsia="MS Mincho"/>
          <w:lang w:eastAsia="ja-JP"/>
        </w:rPr>
        <w:t xml:space="preserve"> </w:t>
      </w:r>
      <w:r w:rsidRPr="003D1DD8">
        <w:rPr>
          <w:rFonts w:eastAsia="MS Mincho"/>
          <w:lang w:eastAsia="ja-JP"/>
        </w:rPr>
        <w:t>United States</w:t>
      </w:r>
      <w:r w:rsidRPr="00356477">
        <w:rPr>
          <w:rFonts w:eastAsia="MS Mincho"/>
          <w:lang w:eastAsia="ja-JP"/>
        </w:rPr>
        <w:t xml:space="preserve"> that have considered the question have concluded that a product's regulatory status is not part of the medical information that physicians must disclose about a proposed off-label treatment</w:t>
      </w:r>
      <w:r>
        <w:t>. On the contrary, in Taiwan</w:t>
      </w:r>
      <w:r>
        <w:rPr>
          <w:rFonts w:cs="Arial"/>
        </w:rPr>
        <w:t xml:space="preserve">, </w:t>
      </w:r>
      <w:r w:rsidRPr="00030E7A">
        <w:rPr>
          <w:rFonts w:cs="Arial"/>
        </w:rPr>
        <w:t xml:space="preserve">the government not only greatly limits the physician's freedom to prescribe </w:t>
      </w:r>
      <w:r w:rsidRPr="00BC084D">
        <w:rPr>
          <w:rFonts w:eastAsia="MS Mincho"/>
          <w:lang w:eastAsia="ja-JP"/>
        </w:rPr>
        <w:t>drugs in an off-label manner</w:t>
      </w:r>
      <w:r w:rsidRPr="00030E7A">
        <w:rPr>
          <w:rFonts w:cs="Arial"/>
        </w:rPr>
        <w:t xml:space="preserve">, but also, </w:t>
      </w:r>
      <w:r>
        <w:rPr>
          <w:rFonts w:cs="Arial"/>
        </w:rPr>
        <w:t>Drug Hazard Relief Act constitutes restriction against the remedy for adverse drug reactions of drug using outside the labeled indications.</w:t>
      </w:r>
      <w:r w:rsidRPr="00030E7A">
        <w:rPr>
          <w:rFonts w:cs="Arial"/>
        </w:rPr>
        <w:t xml:space="preserve"> </w:t>
      </w:r>
      <w:r w:rsidRPr="00356477">
        <w:rPr>
          <w:rFonts w:eastAsia="MS Mincho"/>
          <w:lang w:eastAsia="ja-JP"/>
        </w:rPr>
        <w:t xml:space="preserve">The few courts </w:t>
      </w:r>
      <w:r>
        <w:rPr>
          <w:rFonts w:eastAsia="MS Mincho"/>
          <w:lang w:eastAsia="ja-JP"/>
        </w:rPr>
        <w:t xml:space="preserve">in </w:t>
      </w:r>
      <w:r>
        <w:t xml:space="preserve">Taiwan have concluded that </w:t>
      </w:r>
      <w:r w:rsidRPr="004D0707">
        <w:rPr>
          <w:rFonts w:eastAsia="MS Mincho"/>
          <w:lang w:eastAsia="ja-JP"/>
        </w:rPr>
        <w:t>tort doctrine of informed consent should be expanded to require doctors to disclose off-label prescriptions</w:t>
      </w:r>
      <w:r>
        <w:t xml:space="preserve">. </w:t>
      </w:r>
      <w:r w:rsidRPr="006A4317">
        <w:rPr>
          <w:rFonts w:eastAsia="MS Mincho"/>
          <w:lang w:eastAsia="ja-JP"/>
        </w:rPr>
        <w:t xml:space="preserve">This Article argues that in medical malpractice cases involving </w:t>
      </w:r>
      <w:r>
        <w:t>physician’s duty of disclosure can be discussed in the field of tort law and medical contract law separately.</w:t>
      </w:r>
      <w:r w:rsidRPr="00AA7ACE">
        <w:rPr>
          <w:rFonts w:eastAsia="MS Mincho"/>
          <w:lang w:eastAsia="ja-JP"/>
        </w:rPr>
        <w:t xml:space="preserve"> </w:t>
      </w:r>
      <w:r>
        <w:t>The remarks of differences related to “off-label use of drugs” between our current regulations and judicial cases are also made to compare with those of U.S.</w:t>
      </w:r>
    </w:p>
    <w:p w:rsidR="00DB326D" w:rsidRDefault="00DB326D" w:rsidP="00DB326D">
      <w:r>
        <w:t xml:space="preserve">Key words: off-label use, standard of care, </w:t>
      </w:r>
      <w:r w:rsidRPr="006509DE">
        <w:rPr>
          <w:rFonts w:eastAsia="MS Mincho"/>
          <w:lang w:eastAsia="ja-JP"/>
        </w:rPr>
        <w:t>False Claims Act</w:t>
      </w:r>
      <w:r>
        <w:t xml:space="preserve">, informed consent, </w:t>
      </w:r>
      <w:r w:rsidRPr="002D78BE">
        <w:rPr>
          <w:rFonts w:eastAsia="MS Mincho"/>
          <w:lang w:eastAsia="ja-JP"/>
        </w:rPr>
        <w:t>off-label promotion</w:t>
      </w:r>
      <w:r>
        <w:t xml:space="preserve">  </w:t>
      </w:r>
    </w:p>
    <w:p w:rsidR="00DB326D" w:rsidRDefault="00DB326D" w:rsidP="00DB326D"/>
    <w:p w:rsidR="00DB326D" w:rsidRDefault="00DB326D" w:rsidP="00DB326D"/>
    <w:p w:rsidR="00DB326D" w:rsidRDefault="00DB326D" w:rsidP="00DB326D"/>
    <w:p w:rsidR="00DB326D" w:rsidRDefault="00DB326D" w:rsidP="00DB326D">
      <w:pPr>
        <w:rPr>
          <w:rFonts w:hint="eastAsia"/>
        </w:rPr>
      </w:pPr>
    </w:p>
    <w:p w:rsidR="00DB326D" w:rsidRDefault="00DB326D" w:rsidP="00DB326D">
      <w:pPr>
        <w:rPr>
          <w:rFonts w:hint="eastAsia"/>
        </w:rPr>
      </w:pPr>
    </w:p>
    <w:p w:rsidR="00DB326D" w:rsidRDefault="00DB326D" w:rsidP="00DB326D">
      <w:pPr>
        <w:rPr>
          <w:rFonts w:hint="eastAsia"/>
        </w:rPr>
      </w:pPr>
    </w:p>
    <w:p w:rsidR="00DB326D" w:rsidRDefault="00DB326D" w:rsidP="00DB326D">
      <w:pPr>
        <w:rPr>
          <w:rFonts w:hint="eastAsia"/>
        </w:rPr>
      </w:pPr>
    </w:p>
    <w:p w:rsidR="00DB326D" w:rsidRDefault="00DB326D" w:rsidP="00DB326D">
      <w:pPr>
        <w:rPr>
          <w:rFonts w:hint="eastAsia"/>
        </w:rPr>
      </w:pPr>
    </w:p>
    <w:p w:rsidR="00DB326D" w:rsidRDefault="00DB326D" w:rsidP="00DB326D">
      <w:pPr>
        <w:ind w:firstLineChars="1400" w:firstLine="3360"/>
      </w:pPr>
      <w:r>
        <w:rPr>
          <w:rFonts w:hint="eastAsia"/>
        </w:rPr>
        <w:t>中文摘要</w:t>
      </w:r>
    </w:p>
    <w:p w:rsidR="00DB326D" w:rsidRDefault="00DB326D" w:rsidP="00DB326D">
      <w:pPr>
        <w:ind w:firstLineChars="200" w:firstLine="480"/>
      </w:pPr>
      <w:r>
        <w:rPr>
          <w:rFonts w:hint="eastAsia"/>
        </w:rPr>
        <w:t>美國對於醫師就已上市藥物使用用途是否與與</w:t>
      </w:r>
      <w:r>
        <w:t>FDA</w:t>
      </w:r>
      <w:r>
        <w:rPr>
          <w:rFonts w:hint="eastAsia"/>
        </w:rPr>
        <w:t>核准相符，並不過問，但藥品仿單外使用有時並無科學或醫學上之依據，故美國選擇透過</w:t>
      </w:r>
      <w:r>
        <w:t>FCA</w:t>
      </w:r>
      <w:r>
        <w:rPr>
          <w:rFonts w:hint="eastAsia"/>
        </w:rPr>
        <w:t>法案針對藥商仿單外使用行銷加以限制，以及仿單在醫療過失案件中，充作注意義務標準</w:t>
      </w:r>
      <w:r>
        <w:rPr>
          <w:rFonts w:hint="eastAsia"/>
        </w:rPr>
        <w:lastRenderedPageBreak/>
        <w:t>作為管制藥品仿單外使用。在美國有法院認為仿單外使用不構成醫療資訊之一部分無庸說明。在我國醫師藥品仿單外使用則受到限制，藥害救濟法亦排除適用。我國法院有認為仿單外使用應有告知後同意之適用，本文從侵權行為法與醫療契約去建構說明義務，並且將我國目前仿單外使用之規定與法院案例提出與美國作比較。</w:t>
      </w:r>
    </w:p>
    <w:p w:rsidR="00DB326D" w:rsidRDefault="00DB326D" w:rsidP="00DB326D">
      <w:r>
        <w:rPr>
          <w:rFonts w:hint="eastAsia"/>
        </w:rPr>
        <w:t>關鍵字：告知後同意、仿單外使用、注意義務、不正請求禁止法、仿單外使用行銷</w:t>
      </w:r>
    </w:p>
    <w:p w:rsidR="00DB326D" w:rsidRDefault="00DB326D" w:rsidP="00DB326D">
      <w:pPr>
        <w:rPr>
          <w:rFonts w:hint="eastAsia"/>
        </w:rPr>
      </w:pPr>
    </w:p>
    <w:p w:rsidR="00DB326D" w:rsidRDefault="00DB326D" w:rsidP="00DB326D">
      <w:pPr>
        <w:rPr>
          <w:rFonts w:hint="eastAsia"/>
        </w:rPr>
      </w:pPr>
    </w:p>
    <w:p w:rsidR="00DB326D" w:rsidRDefault="00DB326D" w:rsidP="00DB326D">
      <w:pPr>
        <w:rPr>
          <w:rFonts w:hint="eastAsia"/>
        </w:rPr>
      </w:pPr>
    </w:p>
    <w:p w:rsidR="00DB326D" w:rsidRDefault="00DB326D" w:rsidP="00DB326D">
      <w:pPr>
        <w:rPr>
          <w:rFonts w:hint="eastAsia"/>
        </w:rPr>
      </w:pPr>
    </w:p>
    <w:p w:rsidR="00DB326D" w:rsidRDefault="00DB326D" w:rsidP="00DB326D">
      <w:pPr>
        <w:rPr>
          <w:rFonts w:hint="eastAsia"/>
        </w:rPr>
      </w:pPr>
      <w:r>
        <w:rPr>
          <w:rFonts w:hint="eastAsia"/>
        </w:rPr>
        <w:t>目次</w:t>
      </w:r>
    </w:p>
    <w:p w:rsidR="00DB326D" w:rsidRDefault="00DB326D" w:rsidP="00DB326D">
      <w:pPr>
        <w:numPr>
          <w:ilvl w:val="0"/>
          <w:numId w:val="44"/>
        </w:numPr>
        <w:rPr>
          <w:rFonts w:hint="eastAsia"/>
        </w:rPr>
      </w:pPr>
      <w:r>
        <w:rPr>
          <w:rFonts w:hint="eastAsia"/>
        </w:rPr>
        <w:t>案例與問題提出</w:t>
      </w:r>
    </w:p>
    <w:p w:rsidR="00DB326D" w:rsidRPr="00533A31" w:rsidRDefault="00DB326D" w:rsidP="00DB326D">
      <w:pPr>
        <w:numPr>
          <w:ilvl w:val="0"/>
          <w:numId w:val="44"/>
        </w:numPr>
        <w:rPr>
          <w:rFonts w:ascii="新細明體" w:hAnsi="新細明體" w:hint="eastAsia"/>
        </w:rPr>
      </w:pPr>
      <w:r w:rsidRPr="00533A31">
        <w:rPr>
          <w:rFonts w:ascii="新細明體" w:hAnsi="新細明體"/>
        </w:rPr>
        <w:t>OFF─LABEL USE</w:t>
      </w:r>
      <w:r w:rsidRPr="00533A31">
        <w:rPr>
          <w:rFonts w:ascii="新細明體" w:hAnsi="新細明體" w:hint="eastAsia"/>
        </w:rPr>
        <w:t>之意義與醫療現況</w:t>
      </w:r>
    </w:p>
    <w:p w:rsidR="00DB326D" w:rsidRPr="00533A31" w:rsidRDefault="00DB326D" w:rsidP="00DB326D">
      <w:pPr>
        <w:numPr>
          <w:ilvl w:val="0"/>
          <w:numId w:val="44"/>
        </w:numPr>
        <w:rPr>
          <w:rFonts w:hint="eastAsia"/>
        </w:rPr>
      </w:pPr>
      <w:r w:rsidRPr="00533A31">
        <w:rPr>
          <w:rFonts w:ascii="新細明體" w:hAnsi="新細明體"/>
        </w:rPr>
        <w:t>OFF</w:t>
      </w:r>
      <w:r w:rsidRPr="00533A31">
        <w:rPr>
          <w:rFonts w:ascii="新細明體" w:hAnsi="新細明體" w:hint="eastAsia"/>
        </w:rPr>
        <w:t>─</w:t>
      </w:r>
      <w:r w:rsidRPr="00533A31">
        <w:rPr>
          <w:rFonts w:ascii="新細明體" w:hAnsi="新細明體"/>
        </w:rPr>
        <w:t>LABEL USE</w:t>
      </w:r>
      <w:r w:rsidRPr="00533A31">
        <w:rPr>
          <w:rFonts w:ascii="新細明體" w:hAnsi="新細明體" w:hint="eastAsia"/>
        </w:rPr>
        <w:t>存在之意義與管制之必要性</w:t>
      </w:r>
    </w:p>
    <w:p w:rsidR="00DB326D" w:rsidRPr="00533A31" w:rsidRDefault="00DB326D" w:rsidP="00DB326D">
      <w:pPr>
        <w:numPr>
          <w:ilvl w:val="0"/>
          <w:numId w:val="44"/>
        </w:numPr>
        <w:rPr>
          <w:rFonts w:ascii="新細明體" w:hAnsi="新細明體"/>
        </w:rPr>
      </w:pPr>
      <w:r w:rsidRPr="00533A31">
        <w:rPr>
          <w:rFonts w:ascii="新細明體" w:hAnsi="新細明體"/>
        </w:rPr>
        <w:t>OFF</w:t>
      </w:r>
      <w:r w:rsidRPr="00533A31">
        <w:rPr>
          <w:rFonts w:ascii="新細明體" w:hAnsi="新細明體" w:hint="eastAsia"/>
        </w:rPr>
        <w:t>─</w:t>
      </w:r>
      <w:r w:rsidRPr="00533A31">
        <w:rPr>
          <w:rFonts w:ascii="新細明體" w:hAnsi="新細明體"/>
        </w:rPr>
        <w:t>LABEL USE</w:t>
      </w:r>
      <w:r w:rsidRPr="00533A31">
        <w:rPr>
          <w:rFonts w:ascii="新細明體" w:hAnsi="新細明體" w:hint="eastAsia"/>
        </w:rPr>
        <w:t>美國管制之介紹</w:t>
      </w:r>
    </w:p>
    <w:p w:rsidR="00DB326D" w:rsidRDefault="00DB326D" w:rsidP="00DB326D">
      <w:pPr>
        <w:numPr>
          <w:ilvl w:val="0"/>
          <w:numId w:val="44"/>
        </w:numPr>
        <w:rPr>
          <w:rFonts w:ascii="新細明體" w:hAnsi="新細明體" w:hint="eastAsia"/>
        </w:rPr>
      </w:pPr>
      <w:r w:rsidRPr="00533A31">
        <w:rPr>
          <w:rFonts w:ascii="新細明體" w:hAnsi="新細明體"/>
        </w:rPr>
        <w:t>OFF</w:t>
      </w:r>
      <w:r w:rsidRPr="00533A31">
        <w:rPr>
          <w:rFonts w:ascii="新細明體" w:hAnsi="新細明體" w:hint="eastAsia"/>
        </w:rPr>
        <w:t>─</w:t>
      </w:r>
      <w:r w:rsidRPr="00533A31">
        <w:rPr>
          <w:rFonts w:ascii="新細明體" w:hAnsi="新細明體"/>
        </w:rPr>
        <w:t>LABEL USE</w:t>
      </w:r>
      <w:r>
        <w:rPr>
          <w:rFonts w:ascii="新細明體" w:hAnsi="新細明體" w:hint="eastAsia"/>
        </w:rPr>
        <w:t>我</w:t>
      </w:r>
      <w:r w:rsidRPr="00533A31">
        <w:rPr>
          <w:rFonts w:ascii="新細明體" w:hAnsi="新細明體" w:hint="eastAsia"/>
        </w:rPr>
        <w:t>國管制之介紹</w:t>
      </w:r>
    </w:p>
    <w:p w:rsidR="00DB326D" w:rsidRDefault="00DB326D" w:rsidP="00DB326D">
      <w:pPr>
        <w:numPr>
          <w:ilvl w:val="0"/>
          <w:numId w:val="44"/>
        </w:numPr>
        <w:rPr>
          <w:rFonts w:ascii="新細明體" w:hAnsi="新細明體" w:hint="eastAsia"/>
        </w:rPr>
      </w:pPr>
      <w:r>
        <w:rPr>
          <w:rFonts w:ascii="新細明體" w:hAnsi="新細明體" w:hint="eastAsia"/>
        </w:rPr>
        <w:t>我</w:t>
      </w:r>
      <w:r w:rsidRPr="00533A31">
        <w:rPr>
          <w:rFonts w:ascii="新細明體" w:hAnsi="新細明體" w:hint="eastAsia"/>
        </w:rPr>
        <w:t>國與美國</w:t>
      </w:r>
      <w:r w:rsidRPr="00533A31">
        <w:rPr>
          <w:rFonts w:ascii="新細明體" w:hAnsi="新細明體"/>
        </w:rPr>
        <w:t>OFF</w:t>
      </w:r>
      <w:r w:rsidRPr="00533A31">
        <w:rPr>
          <w:rFonts w:ascii="新細明體" w:hAnsi="新細明體" w:hint="eastAsia"/>
        </w:rPr>
        <w:t>─</w:t>
      </w:r>
      <w:r w:rsidRPr="00533A31">
        <w:rPr>
          <w:rFonts w:ascii="新細明體" w:hAnsi="新細明體"/>
        </w:rPr>
        <w:t>LABEL USE</w:t>
      </w:r>
      <w:r w:rsidRPr="00533A31">
        <w:rPr>
          <w:rFonts w:ascii="新細明體" w:hAnsi="新細明體" w:hint="eastAsia"/>
        </w:rPr>
        <w:t>管制之比較─代結論</w:t>
      </w: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Default="00DB326D" w:rsidP="00DB326D">
      <w:pPr>
        <w:rPr>
          <w:rFonts w:ascii="新細明體" w:hAnsi="新細明體" w:hint="eastAsia"/>
        </w:rPr>
      </w:pPr>
    </w:p>
    <w:p w:rsidR="00DB326D" w:rsidRPr="00533A31" w:rsidRDefault="00DB326D" w:rsidP="00DB326D">
      <w:pPr>
        <w:rPr>
          <w:rFonts w:ascii="新細明體" w:hAnsi="新細明體" w:hint="eastAsia"/>
          <w:sz w:val="32"/>
          <w:szCs w:val="32"/>
        </w:rPr>
      </w:pPr>
      <w:r w:rsidRPr="00533A31">
        <w:rPr>
          <w:rFonts w:ascii="新細明體" w:hAnsi="新細明體" w:hint="eastAsia"/>
          <w:sz w:val="32"/>
          <w:szCs w:val="32"/>
        </w:rPr>
        <w:t>參考文獻</w:t>
      </w:r>
    </w:p>
    <w:p w:rsidR="00DB326D" w:rsidRDefault="00DB326D" w:rsidP="00DB326D">
      <w:pPr>
        <w:rPr>
          <w:rFonts w:ascii="新細明體" w:hAnsi="新細明體" w:hint="eastAsia"/>
        </w:rPr>
      </w:pPr>
      <w:r>
        <w:rPr>
          <w:rFonts w:ascii="新細明體" w:hAnsi="新細明體" w:hint="eastAsia"/>
        </w:rPr>
        <w:t>中文期刊</w:t>
      </w:r>
    </w:p>
    <w:p w:rsidR="00DB326D" w:rsidRPr="00CB1747" w:rsidRDefault="00DB326D" w:rsidP="00DB326D">
      <w:pPr>
        <w:pStyle w:val="aa"/>
        <w:ind w:left="240" w:hangingChars="100" w:hanging="240"/>
        <w:rPr>
          <w:sz w:val="24"/>
          <w:szCs w:val="24"/>
        </w:rPr>
      </w:pPr>
      <w:r w:rsidRPr="00CB1747">
        <w:rPr>
          <w:rFonts w:ascii="新細明體" w:hAnsi="新細明體" w:cs="Arial" w:hint="eastAsia"/>
          <w:sz w:val="24"/>
          <w:szCs w:val="24"/>
        </w:rPr>
        <w:t>陳汝吟，〈論網路</w:t>
      </w:r>
      <w:r w:rsidRPr="00CB1747">
        <w:rPr>
          <w:rFonts w:ascii="新細明體" w:hAnsi="新細明體" w:cs="Arial"/>
          <w:sz w:val="24"/>
          <w:szCs w:val="24"/>
        </w:rPr>
        <w:t>DTC</w:t>
      </w:r>
      <w:r w:rsidRPr="00CB1747">
        <w:rPr>
          <w:rFonts w:ascii="新細明體" w:hAnsi="新細明體" w:cs="Arial" w:hint="eastAsia"/>
          <w:sz w:val="24"/>
          <w:szCs w:val="24"/>
        </w:rPr>
        <w:t>廣告之法律規範－以藥物</w:t>
      </w:r>
      <w:r w:rsidRPr="00CB1747">
        <w:rPr>
          <w:rFonts w:ascii="新細明體" w:hAnsi="新細明體" w:cs="Arial"/>
          <w:sz w:val="24"/>
          <w:szCs w:val="24"/>
        </w:rPr>
        <w:t>DTC</w:t>
      </w:r>
      <w:r w:rsidRPr="00CB1747">
        <w:rPr>
          <w:rFonts w:ascii="新細明體" w:hAnsi="新細明體" w:cs="Arial" w:hint="eastAsia"/>
          <w:sz w:val="24"/>
          <w:szCs w:val="24"/>
        </w:rPr>
        <w:t>廣告對隱私權及產品責任影響為例〉，《玄奘法律學報》第二期，</w:t>
      </w:r>
      <w:r w:rsidRPr="00CB1747">
        <w:rPr>
          <w:rFonts w:ascii="新細明體" w:hAnsi="新細明體" w:cs="Arial"/>
          <w:sz w:val="24"/>
          <w:szCs w:val="24"/>
        </w:rPr>
        <w:t>2004</w:t>
      </w:r>
      <w:r w:rsidRPr="00CB1747">
        <w:rPr>
          <w:rFonts w:ascii="新細明體" w:hAnsi="新細明體" w:cs="Arial" w:hint="eastAsia"/>
          <w:sz w:val="24"/>
          <w:szCs w:val="24"/>
        </w:rPr>
        <w:t>年</w:t>
      </w:r>
      <w:r w:rsidRPr="00CB1747">
        <w:rPr>
          <w:rFonts w:ascii="新細明體" w:hAnsi="新細明體" w:cs="Arial"/>
          <w:sz w:val="24"/>
          <w:szCs w:val="24"/>
        </w:rPr>
        <w:t>12</w:t>
      </w:r>
      <w:r w:rsidRPr="00CB1747">
        <w:rPr>
          <w:rFonts w:ascii="新細明體" w:hAnsi="新細明體" w:cs="Arial" w:hint="eastAsia"/>
          <w:sz w:val="24"/>
          <w:szCs w:val="24"/>
        </w:rPr>
        <w:t>月</w:t>
      </w:r>
    </w:p>
    <w:p w:rsidR="00DB326D" w:rsidRPr="00CB1747" w:rsidRDefault="00DB326D" w:rsidP="00DB326D">
      <w:pPr>
        <w:pStyle w:val="aa"/>
        <w:rPr>
          <w:sz w:val="24"/>
          <w:szCs w:val="24"/>
        </w:rPr>
      </w:pPr>
      <w:r w:rsidRPr="00CB1747">
        <w:rPr>
          <w:rFonts w:hint="eastAsia"/>
          <w:sz w:val="24"/>
          <w:szCs w:val="24"/>
        </w:rPr>
        <w:t>陳杰峰、王慈蜂，</w:t>
      </w:r>
      <w:r w:rsidRPr="00CB1747">
        <w:rPr>
          <w:sz w:val="24"/>
          <w:szCs w:val="24"/>
        </w:rPr>
        <w:t>&lt;</w:t>
      </w:r>
      <w:r w:rsidRPr="00CB1747">
        <w:rPr>
          <w:rFonts w:hint="eastAsia"/>
          <w:sz w:val="24"/>
          <w:szCs w:val="24"/>
        </w:rPr>
        <w:t>醫學文獻評讀概念、方法與等級介紹</w:t>
      </w:r>
      <w:r w:rsidRPr="00CB1747">
        <w:rPr>
          <w:sz w:val="24"/>
          <w:szCs w:val="24"/>
        </w:rPr>
        <w:t>&gt;</w:t>
      </w:r>
      <w:r w:rsidRPr="00CB1747">
        <w:rPr>
          <w:rFonts w:hint="eastAsia"/>
          <w:sz w:val="24"/>
          <w:szCs w:val="24"/>
        </w:rPr>
        <w:t>，</w:t>
      </w:r>
      <w:r w:rsidRPr="00CB1747">
        <w:rPr>
          <w:rFonts w:ascii="新細明體" w:hAnsi="新細明體" w:hint="eastAsia"/>
          <w:sz w:val="24"/>
          <w:szCs w:val="24"/>
        </w:rPr>
        <w:t>《醫療爭議審議報導》</w:t>
      </w:r>
      <w:r w:rsidRPr="00CB1747">
        <w:rPr>
          <w:rFonts w:ascii="新細明體" w:hAnsi="新細明體"/>
          <w:sz w:val="24"/>
          <w:szCs w:val="24"/>
        </w:rPr>
        <w:lastRenderedPageBreak/>
        <w:t>42</w:t>
      </w:r>
      <w:r w:rsidRPr="00CB1747">
        <w:rPr>
          <w:rFonts w:ascii="新細明體" w:hAnsi="新細明體" w:hint="eastAsia"/>
          <w:sz w:val="24"/>
          <w:szCs w:val="24"/>
        </w:rPr>
        <w:t>期，</w:t>
      </w:r>
      <w:r w:rsidRPr="00CB1747">
        <w:rPr>
          <w:rFonts w:ascii="新細明體" w:hAnsi="新細明體"/>
          <w:sz w:val="24"/>
          <w:szCs w:val="24"/>
        </w:rPr>
        <w:t>2009</w:t>
      </w:r>
      <w:r w:rsidRPr="00CB1747">
        <w:rPr>
          <w:rFonts w:ascii="新細明體" w:hAnsi="新細明體" w:hint="eastAsia"/>
          <w:sz w:val="24"/>
          <w:szCs w:val="24"/>
        </w:rPr>
        <w:t>年</w:t>
      </w:r>
      <w:r w:rsidRPr="00CB1747">
        <w:rPr>
          <w:rFonts w:ascii="新細明體" w:hAnsi="新細明體"/>
          <w:sz w:val="24"/>
          <w:szCs w:val="24"/>
        </w:rPr>
        <w:t>9</w:t>
      </w:r>
      <w:r w:rsidRPr="00CB1747">
        <w:rPr>
          <w:rFonts w:ascii="新細明體" w:hAnsi="新細明體" w:hint="eastAsia"/>
          <w:sz w:val="24"/>
          <w:szCs w:val="24"/>
        </w:rPr>
        <w:t>月</w:t>
      </w:r>
      <w:r w:rsidRPr="00CB1747">
        <w:rPr>
          <w:rFonts w:ascii="新細明體" w:hAnsi="新細明體"/>
          <w:sz w:val="24"/>
          <w:szCs w:val="24"/>
        </w:rPr>
        <w:t xml:space="preserve"> </w:t>
      </w:r>
    </w:p>
    <w:p w:rsidR="00DB326D" w:rsidRDefault="00DB326D" w:rsidP="00DB326D">
      <w:pPr>
        <w:pStyle w:val="aa"/>
        <w:rPr>
          <w:rFonts w:ascii="新細明體" w:hAnsi="新細明體" w:hint="eastAsia"/>
          <w:sz w:val="24"/>
          <w:szCs w:val="24"/>
        </w:rPr>
      </w:pPr>
      <w:r w:rsidRPr="00CB1747">
        <w:rPr>
          <w:rFonts w:ascii="新細明體" w:hAnsi="新細明體" w:hint="eastAsia"/>
          <w:sz w:val="24"/>
          <w:szCs w:val="24"/>
        </w:rPr>
        <w:t>廖建瑜，〈論醫師說明義務之建構與發展</w:t>
      </w:r>
      <w:r w:rsidRPr="00CB1747">
        <w:rPr>
          <w:rFonts w:ascii="新細明體" w:hAnsi="新細明體"/>
          <w:sz w:val="24"/>
          <w:szCs w:val="24"/>
        </w:rPr>
        <w:t>-</w:t>
      </w:r>
      <w:r w:rsidRPr="00CB1747">
        <w:rPr>
          <w:rFonts w:ascii="新細明體" w:hAnsi="新細明體" w:hint="eastAsia"/>
          <w:sz w:val="24"/>
          <w:szCs w:val="24"/>
        </w:rPr>
        <w:t>兼評最高法院</w:t>
      </w:r>
      <w:r w:rsidRPr="00CB1747">
        <w:rPr>
          <w:rFonts w:ascii="新細明體" w:hAnsi="新細明體"/>
          <w:sz w:val="24"/>
          <w:szCs w:val="24"/>
        </w:rPr>
        <w:t>94</w:t>
      </w:r>
      <w:r w:rsidRPr="00CB1747">
        <w:rPr>
          <w:rFonts w:ascii="新細明體" w:hAnsi="新細明體" w:hint="eastAsia"/>
          <w:sz w:val="24"/>
          <w:szCs w:val="24"/>
        </w:rPr>
        <w:t>年度台上字第</w:t>
      </w:r>
      <w:r w:rsidRPr="00CB1747">
        <w:rPr>
          <w:rFonts w:ascii="新細明體" w:hAnsi="新細明體"/>
          <w:sz w:val="24"/>
          <w:szCs w:val="24"/>
        </w:rPr>
        <w:t>2676</w:t>
      </w:r>
      <w:r w:rsidRPr="00CB1747">
        <w:rPr>
          <w:rFonts w:ascii="新細明體" w:hAnsi="新細明體" w:hint="eastAsia"/>
          <w:sz w:val="24"/>
          <w:szCs w:val="24"/>
        </w:rPr>
        <w:t>號刑事判決〉</w:t>
      </w:r>
      <w:r w:rsidRPr="00CB1747">
        <w:rPr>
          <w:rFonts w:ascii="新細明體" w:hAnsi="新細明體"/>
          <w:sz w:val="24"/>
          <w:szCs w:val="24"/>
        </w:rPr>
        <w:t xml:space="preserve">, </w:t>
      </w:r>
      <w:r w:rsidRPr="00CB1747">
        <w:rPr>
          <w:rFonts w:ascii="新細明體" w:hAnsi="新細明體" w:hint="eastAsia"/>
          <w:sz w:val="24"/>
          <w:szCs w:val="24"/>
        </w:rPr>
        <w:t>《成大法學》第</w:t>
      </w:r>
      <w:r w:rsidRPr="00CB1747">
        <w:rPr>
          <w:rFonts w:ascii="新細明體" w:hAnsi="新細明體"/>
          <w:sz w:val="24"/>
          <w:szCs w:val="24"/>
        </w:rPr>
        <w:t>10</w:t>
      </w:r>
      <w:r w:rsidRPr="00CB1747">
        <w:rPr>
          <w:rFonts w:ascii="新細明體" w:hAnsi="新細明體" w:hint="eastAsia"/>
          <w:sz w:val="24"/>
          <w:szCs w:val="24"/>
        </w:rPr>
        <w:t>期</w:t>
      </w:r>
      <w:r w:rsidRPr="00CB1747">
        <w:rPr>
          <w:rFonts w:ascii="新細明體" w:hAnsi="新細明體"/>
          <w:sz w:val="24"/>
          <w:szCs w:val="24"/>
        </w:rPr>
        <w:t>, 2005</w:t>
      </w:r>
      <w:r w:rsidRPr="00CB1747">
        <w:rPr>
          <w:rFonts w:ascii="新細明體" w:hAnsi="新細明體" w:hint="eastAsia"/>
          <w:sz w:val="24"/>
          <w:szCs w:val="24"/>
        </w:rPr>
        <w:t>年</w:t>
      </w:r>
      <w:r w:rsidRPr="00CB1747">
        <w:rPr>
          <w:rFonts w:ascii="新細明體" w:hAnsi="新細明體"/>
          <w:sz w:val="24"/>
          <w:szCs w:val="24"/>
        </w:rPr>
        <w:t>10</w:t>
      </w:r>
      <w:r w:rsidRPr="00CB1747">
        <w:rPr>
          <w:rFonts w:ascii="新細明體" w:hAnsi="新細明體" w:hint="eastAsia"/>
          <w:sz w:val="24"/>
          <w:szCs w:val="24"/>
        </w:rPr>
        <w:t>月</w:t>
      </w:r>
    </w:p>
    <w:p w:rsidR="00DB326D" w:rsidRPr="00134F11" w:rsidRDefault="00DB326D" w:rsidP="00DB326D">
      <w:pPr>
        <w:pStyle w:val="aa"/>
        <w:ind w:left="240" w:hangingChars="100" w:hanging="240"/>
        <w:rPr>
          <w:sz w:val="24"/>
          <w:szCs w:val="24"/>
        </w:rPr>
      </w:pPr>
      <w:r w:rsidRPr="00134F11">
        <w:rPr>
          <w:rFonts w:ascii="新細明體" w:hAnsi="細明體" w:cs="細明體" w:hint="eastAsia"/>
          <w:kern w:val="0"/>
          <w:sz w:val="24"/>
          <w:szCs w:val="24"/>
        </w:rPr>
        <w:t>黃俊杰，</w:t>
      </w:r>
      <w:r>
        <w:rPr>
          <w:rFonts w:ascii="新細明體" w:hAnsi="新細明體" w:cs="細明體" w:hint="eastAsia"/>
          <w:kern w:val="0"/>
          <w:sz w:val="24"/>
          <w:szCs w:val="24"/>
        </w:rPr>
        <w:t>〈</w:t>
      </w:r>
      <w:r w:rsidRPr="00134F11">
        <w:rPr>
          <w:rFonts w:ascii="新細明體" w:hAnsi="細明體" w:cs="細明體" w:hint="eastAsia"/>
          <w:kern w:val="0"/>
          <w:sz w:val="24"/>
          <w:szCs w:val="24"/>
        </w:rPr>
        <w:t>特別公課類型化及其課徵正義之研究</w:t>
      </w:r>
      <w:r>
        <w:rPr>
          <w:rFonts w:ascii="新細明體" w:hAnsi="新細明體" w:cs="細明體" w:hint="eastAsia"/>
          <w:kern w:val="0"/>
          <w:sz w:val="24"/>
          <w:szCs w:val="24"/>
        </w:rPr>
        <w:t>〉</w:t>
      </w:r>
      <w:r w:rsidRPr="00134F11">
        <w:rPr>
          <w:rFonts w:ascii="新細明體" w:hAnsi="細明體" w:cs="細明體" w:hint="eastAsia"/>
          <w:kern w:val="0"/>
          <w:sz w:val="24"/>
          <w:szCs w:val="24"/>
        </w:rPr>
        <w:t>，</w:t>
      </w:r>
      <w:r>
        <w:rPr>
          <w:rFonts w:ascii="新細明體" w:hAnsi="新細明體" w:cs="細明體" w:hint="eastAsia"/>
          <w:kern w:val="0"/>
          <w:sz w:val="24"/>
          <w:szCs w:val="24"/>
        </w:rPr>
        <w:t>《</w:t>
      </w:r>
      <w:r w:rsidRPr="00134F11">
        <w:rPr>
          <w:rFonts w:ascii="新細明體" w:hAnsi="細明體" w:cs="細明體" w:hint="eastAsia"/>
          <w:kern w:val="0"/>
          <w:sz w:val="24"/>
          <w:szCs w:val="24"/>
        </w:rPr>
        <w:t>台北大學法學論叢</w:t>
      </w:r>
      <w:r>
        <w:rPr>
          <w:rFonts w:ascii="新細明體" w:hAnsi="新細明體" w:cs="細明體" w:hint="eastAsia"/>
          <w:kern w:val="0"/>
          <w:sz w:val="24"/>
          <w:szCs w:val="24"/>
        </w:rPr>
        <w:t>》</w:t>
      </w:r>
      <w:r w:rsidRPr="00134F11">
        <w:rPr>
          <w:rFonts w:ascii="新細明體" w:hAnsi="細明體" w:cs="細明體" w:hint="eastAsia"/>
          <w:kern w:val="0"/>
          <w:sz w:val="24"/>
          <w:szCs w:val="24"/>
        </w:rPr>
        <w:t>第50期，2002年6月，</w:t>
      </w:r>
    </w:p>
    <w:p w:rsidR="00DB326D" w:rsidRPr="00134F11" w:rsidRDefault="00DB326D" w:rsidP="00DB326D">
      <w:pPr>
        <w:pStyle w:val="aa"/>
        <w:rPr>
          <w:rFonts w:ascii="新細明體" w:hAnsi="新細明體" w:hint="eastAsia"/>
          <w:sz w:val="24"/>
          <w:szCs w:val="24"/>
        </w:rPr>
      </w:pPr>
    </w:p>
    <w:p w:rsidR="00DB326D" w:rsidRDefault="00DB326D" w:rsidP="00DB326D">
      <w:pPr>
        <w:rPr>
          <w:rFonts w:ascii="新細明體" w:hAnsi="新細明體" w:hint="eastAsia"/>
        </w:rPr>
      </w:pPr>
      <w:r>
        <w:rPr>
          <w:rFonts w:ascii="新細明體" w:hAnsi="新細明體" w:hint="eastAsia"/>
        </w:rPr>
        <w:t>碩士論文</w:t>
      </w:r>
    </w:p>
    <w:p w:rsidR="00DB326D" w:rsidRDefault="00DB326D" w:rsidP="00DB326D">
      <w:pPr>
        <w:pStyle w:val="aa"/>
        <w:ind w:left="240" w:hangingChars="100" w:hanging="240"/>
        <w:rPr>
          <w:rFonts w:ascii="新細明體" w:hAnsi="新細明體" w:hint="eastAsia"/>
          <w:sz w:val="24"/>
          <w:szCs w:val="24"/>
        </w:rPr>
      </w:pPr>
      <w:r w:rsidRPr="00533A31">
        <w:rPr>
          <w:rFonts w:ascii="新細明體" w:hAnsi="新細明體" w:hint="eastAsia"/>
          <w:sz w:val="24"/>
          <w:szCs w:val="24"/>
        </w:rPr>
        <w:t>陳俞潓，台北地區醫學中心醫師對藥品核准標示外使用的認知、態度與使用概</w:t>
      </w:r>
    </w:p>
    <w:p w:rsidR="00DB326D" w:rsidRPr="00533A31" w:rsidRDefault="00DB326D" w:rsidP="00DB326D">
      <w:pPr>
        <w:pStyle w:val="aa"/>
        <w:ind w:left="240" w:hangingChars="100" w:hanging="240"/>
        <w:rPr>
          <w:rFonts w:ascii="新細明體" w:hAnsi="新細明體"/>
          <w:sz w:val="24"/>
          <w:szCs w:val="24"/>
        </w:rPr>
      </w:pPr>
      <w:r w:rsidRPr="00533A31">
        <w:rPr>
          <w:rFonts w:ascii="新細明體" w:hAnsi="新細明體" w:hint="eastAsia"/>
          <w:sz w:val="24"/>
          <w:szCs w:val="24"/>
        </w:rPr>
        <w:t>況，國立台灣</w:t>
      </w:r>
      <w:r w:rsidRPr="00533A31">
        <w:rPr>
          <w:rFonts w:ascii="新細明體" w:hAnsi="新細明體"/>
          <w:sz w:val="24"/>
          <w:szCs w:val="24"/>
        </w:rPr>
        <w:t xml:space="preserve"> </w:t>
      </w:r>
      <w:r w:rsidRPr="00533A31">
        <w:rPr>
          <w:rFonts w:ascii="新細明體" w:hAnsi="新細明體" w:hint="eastAsia"/>
          <w:sz w:val="24"/>
          <w:szCs w:val="24"/>
        </w:rPr>
        <w:t>大學衛生政策與管理研究所碩士論文，</w:t>
      </w:r>
      <w:r w:rsidRPr="00533A31">
        <w:rPr>
          <w:rFonts w:ascii="新細明體" w:hAnsi="新細明體"/>
          <w:sz w:val="24"/>
          <w:szCs w:val="24"/>
        </w:rPr>
        <w:t>1999</w:t>
      </w:r>
      <w:r w:rsidRPr="00533A31">
        <w:rPr>
          <w:rFonts w:ascii="新細明體" w:hAnsi="新細明體" w:hint="eastAsia"/>
          <w:sz w:val="24"/>
          <w:szCs w:val="24"/>
        </w:rPr>
        <w:t>年</w:t>
      </w:r>
    </w:p>
    <w:p w:rsidR="00DB326D" w:rsidRDefault="00DB326D" w:rsidP="00DB326D">
      <w:pPr>
        <w:pStyle w:val="aa"/>
        <w:rPr>
          <w:rFonts w:ascii="新細明體" w:hAnsi="新細明體" w:hint="eastAsia"/>
          <w:sz w:val="24"/>
          <w:szCs w:val="24"/>
        </w:rPr>
      </w:pPr>
      <w:r w:rsidRPr="00533A31">
        <w:rPr>
          <w:rFonts w:ascii="新細明體" w:hAnsi="新細明體" w:hint="eastAsia"/>
          <w:sz w:val="24"/>
          <w:szCs w:val="24"/>
        </w:rPr>
        <w:t>林恩萱，</w:t>
      </w:r>
      <w:hyperlink r:id="rId7" w:history="1">
        <w:r w:rsidRPr="00533A31">
          <w:rPr>
            <w:rStyle w:val="ae"/>
            <w:rFonts w:ascii="新細明體" w:hAnsi="新細明體"/>
            <w:color w:val="auto"/>
            <w:sz w:val="24"/>
            <w:szCs w:val="24"/>
            <w:u w:val="none"/>
          </w:rPr>
          <w:t>Carbamazepine</w:t>
        </w:r>
        <w:r w:rsidRPr="00533A31">
          <w:rPr>
            <w:rStyle w:val="ae"/>
            <w:rFonts w:ascii="新細明體" w:hAnsi="新細明體" w:hint="eastAsia"/>
            <w:color w:val="auto"/>
            <w:sz w:val="24"/>
            <w:szCs w:val="24"/>
            <w:u w:val="none"/>
          </w:rPr>
          <w:t>藥品核准標示外使用（</w:t>
        </w:r>
        <w:r w:rsidRPr="00533A31">
          <w:rPr>
            <w:rStyle w:val="ae"/>
            <w:rFonts w:ascii="新細明體" w:hAnsi="新細明體"/>
            <w:color w:val="auto"/>
            <w:sz w:val="24"/>
            <w:szCs w:val="24"/>
            <w:u w:val="none"/>
          </w:rPr>
          <w:t>Off-Label Use</w:t>
        </w:r>
        <w:r w:rsidRPr="00533A31">
          <w:rPr>
            <w:rStyle w:val="ae"/>
            <w:rFonts w:ascii="新細明體" w:hAnsi="新細明體" w:hint="eastAsia"/>
            <w:color w:val="auto"/>
            <w:sz w:val="24"/>
            <w:szCs w:val="24"/>
            <w:u w:val="none"/>
          </w:rPr>
          <w:t>）之研究</w:t>
        </w:r>
      </w:hyperlink>
      <w:r w:rsidRPr="00533A31">
        <w:rPr>
          <w:rFonts w:ascii="新細明體" w:hAnsi="新細明體" w:hint="eastAsia"/>
          <w:sz w:val="24"/>
          <w:szCs w:val="24"/>
        </w:rPr>
        <w:t>，國立陽明大學衛生福利研究所碩士論文，</w:t>
      </w:r>
      <w:r w:rsidRPr="00533A31">
        <w:rPr>
          <w:rFonts w:ascii="新細明體" w:hAnsi="新細明體"/>
          <w:sz w:val="24"/>
          <w:szCs w:val="24"/>
        </w:rPr>
        <w:t>2005</w:t>
      </w:r>
      <w:r w:rsidRPr="00533A31">
        <w:rPr>
          <w:rFonts w:ascii="新細明體" w:hAnsi="新細明體" w:hint="eastAsia"/>
          <w:sz w:val="24"/>
          <w:szCs w:val="24"/>
        </w:rPr>
        <w:t>年</w:t>
      </w:r>
      <w:r w:rsidRPr="00533A31">
        <w:rPr>
          <w:rFonts w:ascii="新細明體" w:hAnsi="新細明體"/>
          <w:sz w:val="24"/>
          <w:szCs w:val="24"/>
        </w:rPr>
        <w:t>7</w:t>
      </w:r>
      <w:r w:rsidRPr="00533A31">
        <w:rPr>
          <w:rFonts w:ascii="新細明體" w:hAnsi="新細明體" w:hint="eastAsia"/>
          <w:sz w:val="24"/>
          <w:szCs w:val="24"/>
        </w:rPr>
        <w:t>月</w:t>
      </w:r>
    </w:p>
    <w:p w:rsidR="00DB326D" w:rsidRPr="00533A31" w:rsidRDefault="00DB326D" w:rsidP="00DB326D">
      <w:pPr>
        <w:pStyle w:val="aa"/>
        <w:rPr>
          <w:rFonts w:ascii="新細明體" w:hAnsi="新細明體"/>
          <w:sz w:val="24"/>
          <w:szCs w:val="24"/>
        </w:rPr>
      </w:pPr>
    </w:p>
    <w:p w:rsidR="00DB326D" w:rsidRPr="00533A31" w:rsidRDefault="00DB326D" w:rsidP="00DB326D">
      <w:pPr>
        <w:rPr>
          <w:rFonts w:ascii="新細明體" w:hAnsi="新細明體" w:hint="eastAsia"/>
        </w:rPr>
      </w:pPr>
      <w:r>
        <w:rPr>
          <w:rFonts w:ascii="新細明體" w:hAnsi="新細明體" w:hint="eastAsia"/>
        </w:rPr>
        <w:t>中文專書</w:t>
      </w:r>
    </w:p>
    <w:p w:rsidR="00DB326D" w:rsidRDefault="00DB326D" w:rsidP="00DB326D">
      <w:pPr>
        <w:rPr>
          <w:rFonts w:hint="eastAsia"/>
        </w:rPr>
      </w:pPr>
      <w:r>
        <w:rPr>
          <w:rFonts w:hint="eastAsia"/>
        </w:rPr>
        <w:t>朱懷祖著，藥物責任與消費者保護，五南出版，</w:t>
      </w:r>
      <w:r>
        <w:t>1997</w:t>
      </w:r>
      <w:r>
        <w:rPr>
          <w:rFonts w:hint="eastAsia"/>
        </w:rPr>
        <w:t>年</w:t>
      </w:r>
      <w:r>
        <w:t>11</w:t>
      </w:r>
      <w:r>
        <w:rPr>
          <w:rFonts w:hint="eastAsia"/>
        </w:rPr>
        <w:t>月初版</w:t>
      </w:r>
    </w:p>
    <w:p w:rsidR="00DB326D" w:rsidRDefault="00DB326D" w:rsidP="00DB326D">
      <w:pPr>
        <w:rPr>
          <w:rFonts w:ascii="新細明體" w:hAnsi="新細明體" w:hint="eastAsia"/>
        </w:rPr>
      </w:pPr>
    </w:p>
    <w:p w:rsidR="00DB326D" w:rsidRDefault="00DB326D" w:rsidP="00DB326D">
      <w:pPr>
        <w:rPr>
          <w:rFonts w:ascii="新細明體" w:hAnsi="新細明體" w:hint="eastAsia"/>
        </w:rPr>
      </w:pPr>
      <w:r>
        <w:rPr>
          <w:rFonts w:ascii="新細明體" w:hAnsi="新細明體" w:hint="eastAsia"/>
        </w:rPr>
        <w:t>網路文章</w:t>
      </w:r>
    </w:p>
    <w:p w:rsidR="00DB326D" w:rsidRPr="00CB1747" w:rsidRDefault="00DB326D" w:rsidP="00DB326D">
      <w:pPr>
        <w:pStyle w:val="aa"/>
        <w:ind w:left="240" w:hangingChars="100" w:hanging="240"/>
        <w:rPr>
          <w:sz w:val="24"/>
          <w:szCs w:val="24"/>
        </w:rPr>
      </w:pPr>
      <w:r w:rsidRPr="00533A31">
        <w:rPr>
          <w:rFonts w:hint="eastAsia"/>
          <w:sz w:val="24"/>
          <w:szCs w:val="24"/>
        </w:rPr>
        <w:t>汪紹銘，藥品之仿單外使用（</w:t>
      </w:r>
      <w:r w:rsidRPr="00533A31">
        <w:rPr>
          <w:sz w:val="24"/>
          <w:szCs w:val="24"/>
        </w:rPr>
        <w:t>OFF-LABEL USE</w:t>
      </w:r>
      <w:r w:rsidRPr="00533A31">
        <w:rPr>
          <w:rFonts w:hint="eastAsia"/>
          <w:sz w:val="24"/>
          <w:szCs w:val="24"/>
        </w:rPr>
        <w:t>）之法律問題</w:t>
      </w:r>
      <w:r w:rsidRPr="00CB1747">
        <w:rPr>
          <w:sz w:val="24"/>
          <w:szCs w:val="24"/>
        </w:rPr>
        <w:fldChar w:fldCharType="begin"/>
      </w:r>
      <w:r w:rsidRPr="00CB1747">
        <w:rPr>
          <w:sz w:val="24"/>
          <w:szCs w:val="24"/>
        </w:rPr>
        <w:instrText>HYPERLINK "http://www.rootlaw.com.tw/blog/wanglawyer2/?p=441"</w:instrText>
      </w:r>
      <w:r w:rsidRPr="00CB1747">
        <w:rPr>
          <w:sz w:val="24"/>
          <w:szCs w:val="24"/>
        </w:rPr>
        <w:fldChar w:fldCharType="separate"/>
      </w:r>
      <w:r w:rsidRPr="00CB1747">
        <w:rPr>
          <w:rStyle w:val="ae"/>
          <w:sz w:val="24"/>
          <w:szCs w:val="24"/>
        </w:rPr>
        <w:t>http://www.rootlaw.com.tw/blog/wanglawyer2/?p=441</w:t>
      </w:r>
      <w:r w:rsidRPr="00CB1747">
        <w:rPr>
          <w:sz w:val="24"/>
          <w:szCs w:val="24"/>
        </w:rPr>
        <w:fldChar w:fldCharType="end"/>
      </w:r>
      <w:r w:rsidRPr="00CB1747">
        <w:rPr>
          <w:rFonts w:hint="eastAsia"/>
          <w:sz w:val="24"/>
          <w:szCs w:val="24"/>
        </w:rPr>
        <w:t>，</w:t>
      </w:r>
      <w:r w:rsidRPr="00CB1747">
        <w:rPr>
          <w:sz w:val="24"/>
          <w:szCs w:val="24"/>
        </w:rPr>
        <w:t>visited on 01/03/2010</w:t>
      </w:r>
    </w:p>
    <w:p w:rsidR="00DB326D" w:rsidRPr="00CB1747" w:rsidRDefault="00DB326D" w:rsidP="00DB326D">
      <w:pPr>
        <w:pStyle w:val="aa"/>
        <w:rPr>
          <w:rFonts w:ascii="Tahoma" w:hAnsi="Tahoma" w:cs="Tahoma"/>
          <w:sz w:val="24"/>
          <w:szCs w:val="24"/>
        </w:rPr>
      </w:pPr>
      <w:r w:rsidRPr="00CB1747">
        <w:rPr>
          <w:rFonts w:hint="eastAsia"/>
          <w:sz w:val="24"/>
          <w:szCs w:val="24"/>
        </w:rPr>
        <w:t>賴其萬著，</w:t>
      </w:r>
      <w:r w:rsidRPr="00CB1747">
        <w:rPr>
          <w:rFonts w:ascii="新細明體" w:hAnsi="新細明體" w:hint="eastAsia"/>
          <w:sz w:val="24"/>
          <w:szCs w:val="24"/>
        </w:rPr>
        <w:t>〈</w:t>
      </w:r>
      <w:r w:rsidRPr="00CB1747">
        <w:rPr>
          <w:rFonts w:hint="eastAsia"/>
          <w:sz w:val="24"/>
          <w:szCs w:val="24"/>
        </w:rPr>
        <w:t>請保護無辜的病人</w:t>
      </w:r>
      <w:r w:rsidRPr="00CB1747">
        <w:rPr>
          <w:rFonts w:ascii="新細明體" w:hAnsi="新細明體" w:hint="eastAsia"/>
          <w:sz w:val="24"/>
          <w:szCs w:val="24"/>
        </w:rPr>
        <w:t>〉</w:t>
      </w:r>
      <w:r w:rsidRPr="00CB1747">
        <w:rPr>
          <w:rFonts w:hint="eastAsia"/>
          <w:sz w:val="24"/>
          <w:szCs w:val="24"/>
        </w:rPr>
        <w:t>，</w:t>
      </w:r>
      <w:r w:rsidRPr="00CB1747">
        <w:rPr>
          <w:rFonts w:ascii="Tahoma" w:hAnsi="Tahoma" w:cs="Tahoma" w:hint="eastAsia"/>
          <w:sz w:val="24"/>
          <w:szCs w:val="24"/>
        </w:rPr>
        <w:t>《和信治癌中心醫院與您》，第</w:t>
      </w:r>
      <w:r w:rsidRPr="00CB1747">
        <w:rPr>
          <w:rFonts w:ascii="Tahoma" w:hAnsi="Tahoma" w:cs="Tahoma"/>
          <w:sz w:val="24"/>
          <w:szCs w:val="24"/>
        </w:rPr>
        <w:t>50</w:t>
      </w:r>
      <w:r w:rsidRPr="00CB1747">
        <w:rPr>
          <w:rFonts w:ascii="Tahoma" w:hAnsi="Tahoma" w:cs="Tahoma" w:hint="eastAsia"/>
          <w:sz w:val="24"/>
          <w:szCs w:val="24"/>
        </w:rPr>
        <w:t>期，</w:t>
      </w:r>
      <w:r w:rsidRPr="00CB1747">
        <w:rPr>
          <w:rFonts w:ascii="Tahoma" w:hAnsi="Tahoma" w:cs="Tahoma"/>
          <w:sz w:val="24"/>
          <w:szCs w:val="24"/>
        </w:rPr>
        <w:t>2005/10/15</w:t>
      </w:r>
    </w:p>
    <w:p w:rsidR="00DB326D" w:rsidRPr="00CB1747" w:rsidRDefault="00DB326D" w:rsidP="00DB326D">
      <w:pPr>
        <w:pStyle w:val="aa"/>
        <w:rPr>
          <w:sz w:val="24"/>
          <w:szCs w:val="24"/>
        </w:rPr>
      </w:pPr>
      <w:r>
        <w:rPr>
          <w:rFonts w:ascii="Tahoma" w:hAnsi="Tahoma" w:cs="Tahoma"/>
          <w:sz w:val="18"/>
          <w:szCs w:val="18"/>
        </w:rPr>
        <w:t xml:space="preserve"> </w:t>
      </w:r>
      <w:r w:rsidRPr="00CB1747">
        <w:rPr>
          <w:rFonts w:ascii="Tahoma" w:hAnsi="Tahoma" w:cs="Tahoma"/>
          <w:sz w:val="24"/>
          <w:szCs w:val="24"/>
        </w:rPr>
        <w:t xml:space="preserve"> </w:t>
      </w:r>
      <w:r w:rsidRPr="00CB1747">
        <w:rPr>
          <w:sz w:val="24"/>
          <w:szCs w:val="24"/>
        </w:rPr>
        <w:t>http://www.kfsyscc.org/index.php?article_id=2350</w:t>
      </w:r>
      <w:r w:rsidRPr="00CB1747">
        <w:rPr>
          <w:rFonts w:hint="eastAsia"/>
          <w:sz w:val="24"/>
          <w:szCs w:val="24"/>
        </w:rPr>
        <w:t>，</w:t>
      </w:r>
      <w:r w:rsidRPr="00CB1747">
        <w:rPr>
          <w:sz w:val="24"/>
          <w:szCs w:val="24"/>
        </w:rPr>
        <w:t xml:space="preserve">visited </w:t>
      </w:r>
      <w:proofErr w:type="gramStart"/>
      <w:r w:rsidRPr="00CB1747">
        <w:rPr>
          <w:sz w:val="24"/>
          <w:szCs w:val="24"/>
        </w:rPr>
        <w:t>on  2010</w:t>
      </w:r>
      <w:proofErr w:type="gramEnd"/>
      <w:r w:rsidRPr="00CB1747">
        <w:rPr>
          <w:sz w:val="24"/>
          <w:szCs w:val="24"/>
        </w:rPr>
        <w:t>/7/30</w:t>
      </w:r>
    </w:p>
    <w:p w:rsidR="00DB326D" w:rsidRDefault="00DB326D" w:rsidP="00DB326D">
      <w:pPr>
        <w:rPr>
          <w:rFonts w:ascii="新細明體" w:hAnsi="新細明體" w:hint="eastAsia"/>
        </w:rPr>
      </w:pPr>
    </w:p>
    <w:p w:rsidR="00DB326D" w:rsidRDefault="00DB326D" w:rsidP="00DB326D">
      <w:pPr>
        <w:rPr>
          <w:rFonts w:ascii="新細明體" w:hAnsi="新細明體" w:hint="eastAsia"/>
        </w:rPr>
      </w:pPr>
      <w:r>
        <w:rPr>
          <w:rFonts w:ascii="新細明體" w:hAnsi="新細明體" w:hint="eastAsia"/>
        </w:rPr>
        <w:t>英文期刊</w:t>
      </w:r>
    </w:p>
    <w:p w:rsidR="00DB326D" w:rsidRDefault="00DB326D" w:rsidP="00DB326D">
      <w:pPr>
        <w:spacing w:line="240" w:lineRule="atLeast"/>
        <w:ind w:left="240" w:hangingChars="100" w:hanging="240"/>
        <w:rPr>
          <w:rFonts w:hint="eastAsia"/>
          <w:i/>
        </w:rPr>
      </w:pPr>
      <w:proofErr w:type="spellStart"/>
      <w:r w:rsidRPr="00533A31">
        <w:rPr>
          <w:lang w:eastAsia="ja-JP"/>
        </w:rPr>
        <w:t>Santosh</w:t>
      </w:r>
      <w:proofErr w:type="spellEnd"/>
      <w:r w:rsidRPr="00533A31">
        <w:rPr>
          <w:lang w:eastAsia="ja-JP"/>
        </w:rPr>
        <w:t xml:space="preserve"> V. </w:t>
      </w:r>
      <w:proofErr w:type="spellStart"/>
      <w:r w:rsidRPr="00533A31">
        <w:rPr>
          <w:lang w:eastAsia="ja-JP"/>
        </w:rPr>
        <w:t>Coutinho</w:t>
      </w:r>
      <w:proofErr w:type="spellEnd"/>
      <w:r w:rsidRPr="00533A31">
        <w:rPr>
          <w:lang w:eastAsia="ja-JP"/>
        </w:rPr>
        <w:t>,</w:t>
      </w:r>
      <w:r w:rsidRPr="00533A31">
        <w:rPr>
          <w:i/>
          <w:lang w:eastAsia="ja-JP"/>
        </w:rPr>
        <w:t xml:space="preserve"> License to promote, or just what the doctor ordered? The new </w:t>
      </w:r>
    </w:p>
    <w:p w:rsidR="00DB326D" w:rsidRDefault="00DB326D" w:rsidP="00DB326D">
      <w:pPr>
        <w:spacing w:line="240" w:lineRule="atLeast"/>
        <w:ind w:left="240" w:hangingChars="100" w:hanging="240"/>
        <w:rPr>
          <w:rFonts w:hint="eastAsia"/>
        </w:rPr>
      </w:pPr>
      <w:r w:rsidRPr="00533A31">
        <w:rPr>
          <w:i/>
          <w:lang w:eastAsia="ja-JP"/>
        </w:rPr>
        <w:t>FDA Guidance on dissemination of off-label reprints by pharmaceutical companies</w:t>
      </w:r>
      <w:r w:rsidRPr="00533A31">
        <w:rPr>
          <w:lang w:eastAsia="ja-JP"/>
        </w:rPr>
        <w:t xml:space="preserve">, </w:t>
      </w:r>
    </w:p>
    <w:p w:rsidR="00DB326D" w:rsidRPr="00533A31" w:rsidRDefault="00DB326D" w:rsidP="00DB326D">
      <w:pPr>
        <w:spacing w:line="240" w:lineRule="atLeast"/>
        <w:ind w:left="240" w:hangingChars="100" w:hanging="240"/>
      </w:pPr>
      <w:r w:rsidRPr="00533A31">
        <w:rPr>
          <w:lang w:eastAsia="ja-JP"/>
        </w:rPr>
        <w:t>Temple Journal of Science</w:t>
      </w:r>
      <w:r w:rsidRPr="00533A31">
        <w:rPr>
          <w:rFonts w:hint="eastAsia"/>
        </w:rPr>
        <w:t>、</w:t>
      </w:r>
      <w:r w:rsidRPr="00533A31">
        <w:rPr>
          <w:lang w:eastAsia="ja-JP"/>
        </w:rPr>
        <w:t>Technology &amp; Environmental Law, Fall 2009</w:t>
      </w:r>
    </w:p>
    <w:p w:rsidR="00DB326D" w:rsidRDefault="00DB326D" w:rsidP="00DB326D">
      <w:pPr>
        <w:spacing w:line="240" w:lineRule="atLeast"/>
        <w:rPr>
          <w:rFonts w:hint="eastAsia"/>
        </w:rPr>
      </w:pPr>
      <w:r>
        <w:t xml:space="preserve">Richard C. </w:t>
      </w:r>
      <w:proofErr w:type="spellStart"/>
      <w:proofErr w:type="gramStart"/>
      <w:r>
        <w:t>Ausness</w:t>
      </w:r>
      <w:proofErr w:type="spellEnd"/>
      <w:r>
        <w:t xml:space="preserve"> ,</w:t>
      </w:r>
      <w:proofErr w:type="gramEnd"/>
      <w:r>
        <w:t xml:space="preserve"> </w:t>
      </w:r>
      <w:r w:rsidRPr="00AE27BB">
        <w:rPr>
          <w:i/>
        </w:rPr>
        <w:t xml:space="preserve">There’s danger here , </w:t>
      </w:r>
      <w:proofErr w:type="spellStart"/>
      <w:r w:rsidRPr="00AE27BB">
        <w:rPr>
          <w:i/>
        </w:rPr>
        <w:t>cherie</w:t>
      </w:r>
      <w:proofErr w:type="spellEnd"/>
      <w:r w:rsidRPr="00AE27BB">
        <w:rPr>
          <w:i/>
        </w:rPr>
        <w:t>!:</w:t>
      </w:r>
      <w:r>
        <w:rPr>
          <w:i/>
        </w:rPr>
        <w:t xml:space="preserve"> </w:t>
      </w:r>
      <w:r w:rsidRPr="00AE27BB">
        <w:rPr>
          <w:i/>
        </w:rPr>
        <w:t>Liability for the promotion and ma</w:t>
      </w:r>
      <w:r>
        <w:rPr>
          <w:i/>
        </w:rPr>
        <w:t>r</w:t>
      </w:r>
      <w:r w:rsidRPr="00AE27BB">
        <w:rPr>
          <w:i/>
        </w:rPr>
        <w:t xml:space="preserve">keting of drug and medical devices for off-label use </w:t>
      </w:r>
      <w:r>
        <w:t>, Brooklyn Law Review , summer 2008</w:t>
      </w:r>
    </w:p>
    <w:p w:rsidR="00DB326D" w:rsidRDefault="00DB326D" w:rsidP="00DB326D">
      <w:pPr>
        <w:spacing w:line="240" w:lineRule="atLeast"/>
        <w:rPr>
          <w:rFonts w:cs="Arial" w:hint="eastAsia"/>
        </w:rPr>
      </w:pPr>
      <w:r>
        <w:t>J</w:t>
      </w:r>
      <w:r w:rsidRPr="00F765DA">
        <w:t xml:space="preserve">ames O’Reilly &amp; Amy </w:t>
      </w:r>
      <w:proofErr w:type="spellStart"/>
      <w:proofErr w:type="gramStart"/>
      <w:r w:rsidRPr="00F765DA">
        <w:t>Dalal</w:t>
      </w:r>
      <w:proofErr w:type="spellEnd"/>
      <w:r w:rsidRPr="00F765DA">
        <w:t xml:space="preserve"> ,</w:t>
      </w:r>
      <w:proofErr w:type="gramEnd"/>
      <w:r w:rsidRPr="00F765DA">
        <w:t xml:space="preserve"> </w:t>
      </w:r>
      <w:r w:rsidRPr="00E054E5">
        <w:rPr>
          <w:rFonts w:cs="Arial"/>
          <w:i/>
        </w:rPr>
        <w:t xml:space="preserve">Off-Label or Out of Bounds? </w:t>
      </w:r>
      <w:proofErr w:type="gramStart"/>
      <w:r w:rsidRPr="00E054E5">
        <w:rPr>
          <w:rFonts w:cs="Arial"/>
          <w:i/>
        </w:rPr>
        <w:t>Prescriber and Marketer Liability for Unapproved Use of FDA-Approved Drugs</w:t>
      </w:r>
      <w:r w:rsidRPr="00F765DA">
        <w:rPr>
          <w:rFonts w:cs="Arial"/>
        </w:rPr>
        <w:t>, 12 Annals Health L (2003).</w:t>
      </w:r>
      <w:proofErr w:type="gramEnd"/>
    </w:p>
    <w:p w:rsidR="00DB326D" w:rsidRDefault="00DB326D" w:rsidP="00DB326D">
      <w:pPr>
        <w:pStyle w:val="aa"/>
        <w:spacing w:line="360" w:lineRule="auto"/>
        <w:rPr>
          <w:rFonts w:hint="eastAsia"/>
          <w:sz w:val="24"/>
          <w:szCs w:val="24"/>
        </w:rPr>
      </w:pPr>
      <w:r w:rsidRPr="00533A31">
        <w:rPr>
          <w:sz w:val="24"/>
          <w:szCs w:val="24"/>
        </w:rPr>
        <w:t xml:space="preserve">David </w:t>
      </w:r>
      <w:proofErr w:type="spellStart"/>
      <w:r w:rsidRPr="00533A31">
        <w:rPr>
          <w:sz w:val="24"/>
          <w:szCs w:val="24"/>
        </w:rPr>
        <w:t>C.Radley</w:t>
      </w:r>
      <w:proofErr w:type="spellEnd"/>
      <w:r w:rsidRPr="00533A31">
        <w:rPr>
          <w:sz w:val="24"/>
          <w:szCs w:val="24"/>
        </w:rPr>
        <w:t xml:space="preserve">, Stan N. </w:t>
      </w:r>
      <w:r w:rsidRPr="00533A31">
        <w:rPr>
          <w:rStyle w:val="ad"/>
          <w:rFonts w:cs="Arial"/>
          <w:color w:val="auto"/>
          <w:sz w:val="24"/>
          <w:szCs w:val="24"/>
        </w:rPr>
        <w:t>Finkelstein.</w:t>
      </w:r>
      <w:r w:rsidRPr="00533A31">
        <w:rPr>
          <w:sz w:val="24"/>
          <w:szCs w:val="24"/>
        </w:rPr>
        <w:t xml:space="preserve">, </w:t>
      </w:r>
      <w:r w:rsidRPr="00533A31">
        <w:rPr>
          <w:rStyle w:val="ad"/>
          <w:rFonts w:cs="Arial"/>
          <w:color w:val="auto"/>
          <w:sz w:val="24"/>
          <w:szCs w:val="24"/>
        </w:rPr>
        <w:t>Randall S</w:t>
      </w:r>
      <w:r w:rsidRPr="00533A31">
        <w:rPr>
          <w:sz w:val="24"/>
          <w:szCs w:val="24"/>
        </w:rPr>
        <w:t xml:space="preserve"> Stafford, </w:t>
      </w:r>
      <w:r w:rsidRPr="00533A31">
        <w:rPr>
          <w:i/>
          <w:sz w:val="24"/>
          <w:szCs w:val="24"/>
        </w:rPr>
        <w:t>Off-label prescribing among office-based physicians</w:t>
      </w:r>
      <w:r w:rsidRPr="00533A31">
        <w:rPr>
          <w:sz w:val="24"/>
          <w:szCs w:val="24"/>
        </w:rPr>
        <w:t xml:space="preserve">. 166 Arch. </w:t>
      </w:r>
      <w:proofErr w:type="gramStart"/>
      <w:r w:rsidRPr="00533A31">
        <w:rPr>
          <w:sz w:val="24"/>
          <w:szCs w:val="24"/>
        </w:rPr>
        <w:t>Intern</w:t>
      </w:r>
      <w:proofErr w:type="gramEnd"/>
      <w:r w:rsidRPr="00533A31">
        <w:rPr>
          <w:sz w:val="24"/>
          <w:szCs w:val="24"/>
        </w:rPr>
        <w:t xml:space="preserve">. </w:t>
      </w:r>
      <w:proofErr w:type="gramStart"/>
      <w:r w:rsidRPr="00533A31">
        <w:rPr>
          <w:sz w:val="24"/>
          <w:szCs w:val="24"/>
        </w:rPr>
        <w:t>Med. (2006).</w:t>
      </w:r>
      <w:proofErr w:type="gramEnd"/>
    </w:p>
    <w:p w:rsidR="00DB326D" w:rsidRDefault="00DB326D" w:rsidP="00DB326D">
      <w:pPr>
        <w:pStyle w:val="aa"/>
        <w:spacing w:line="360" w:lineRule="auto"/>
        <w:rPr>
          <w:rFonts w:hint="eastAsia"/>
          <w:sz w:val="24"/>
          <w:szCs w:val="24"/>
        </w:rPr>
      </w:pPr>
      <w:r w:rsidRPr="00533A31">
        <w:rPr>
          <w:rStyle w:val="ad"/>
          <w:color w:val="auto"/>
          <w:sz w:val="24"/>
          <w:szCs w:val="24"/>
        </w:rPr>
        <w:t>Randall S</w:t>
      </w:r>
      <w:r w:rsidRPr="00533A31">
        <w:rPr>
          <w:sz w:val="24"/>
          <w:szCs w:val="24"/>
        </w:rPr>
        <w:t xml:space="preserve">. </w:t>
      </w:r>
      <w:r w:rsidRPr="00533A31">
        <w:rPr>
          <w:rStyle w:val="ad"/>
          <w:color w:val="auto"/>
          <w:sz w:val="24"/>
          <w:szCs w:val="24"/>
        </w:rPr>
        <w:t>Stafford</w:t>
      </w:r>
      <w:r w:rsidRPr="00533A31">
        <w:rPr>
          <w:sz w:val="24"/>
          <w:szCs w:val="24"/>
        </w:rPr>
        <w:t xml:space="preserve">, </w:t>
      </w:r>
      <w:r w:rsidRPr="00533A31">
        <w:rPr>
          <w:i/>
          <w:sz w:val="24"/>
          <w:szCs w:val="24"/>
        </w:rPr>
        <w:t>Perspective: Regulating off-label drug use: rethinking the role of the FDA,</w:t>
      </w:r>
      <w:r w:rsidRPr="00533A31">
        <w:rPr>
          <w:sz w:val="24"/>
          <w:szCs w:val="24"/>
        </w:rPr>
        <w:t xml:space="preserve"> </w:t>
      </w:r>
      <w:r w:rsidRPr="00533A31">
        <w:rPr>
          <w:rStyle w:val="ad"/>
          <w:color w:val="auto"/>
          <w:sz w:val="24"/>
          <w:szCs w:val="24"/>
        </w:rPr>
        <w:t>N</w:t>
      </w:r>
      <w:r w:rsidRPr="00533A31">
        <w:rPr>
          <w:sz w:val="24"/>
          <w:szCs w:val="24"/>
        </w:rPr>
        <w:t xml:space="preserve">. </w:t>
      </w:r>
      <w:proofErr w:type="spellStart"/>
      <w:r w:rsidRPr="00533A31">
        <w:rPr>
          <w:rStyle w:val="ad"/>
          <w:color w:val="auto"/>
          <w:sz w:val="24"/>
          <w:szCs w:val="24"/>
        </w:rPr>
        <w:t>Engl</w:t>
      </w:r>
      <w:proofErr w:type="spellEnd"/>
      <w:r w:rsidRPr="00533A31">
        <w:rPr>
          <w:sz w:val="24"/>
          <w:szCs w:val="24"/>
        </w:rPr>
        <w:t xml:space="preserve"> J </w:t>
      </w:r>
      <w:r w:rsidRPr="00533A31">
        <w:rPr>
          <w:rStyle w:val="ad"/>
          <w:color w:val="auto"/>
          <w:sz w:val="24"/>
          <w:szCs w:val="24"/>
        </w:rPr>
        <w:t>Med</w:t>
      </w:r>
      <w:r w:rsidRPr="00533A31">
        <w:rPr>
          <w:sz w:val="24"/>
          <w:szCs w:val="24"/>
        </w:rPr>
        <w:t>（</w:t>
      </w:r>
      <w:r w:rsidRPr="00533A31">
        <w:rPr>
          <w:sz w:val="24"/>
          <w:szCs w:val="24"/>
        </w:rPr>
        <w:t>2008.4.3</w:t>
      </w:r>
      <w:r w:rsidRPr="00533A31">
        <w:rPr>
          <w:sz w:val="24"/>
          <w:szCs w:val="24"/>
        </w:rPr>
        <w:t>）</w:t>
      </w:r>
    </w:p>
    <w:p w:rsidR="00DB326D" w:rsidRDefault="00DB326D" w:rsidP="00DB326D">
      <w:pPr>
        <w:pStyle w:val="aa"/>
        <w:spacing w:line="360" w:lineRule="auto"/>
        <w:rPr>
          <w:rFonts w:hint="eastAsia"/>
          <w:sz w:val="24"/>
          <w:szCs w:val="24"/>
        </w:rPr>
      </w:pPr>
      <w:r w:rsidRPr="00533A31">
        <w:rPr>
          <w:sz w:val="24"/>
          <w:szCs w:val="24"/>
        </w:rPr>
        <w:t xml:space="preserve">Margaret Z .Johns , </w:t>
      </w:r>
      <w:r w:rsidRPr="00533A31">
        <w:rPr>
          <w:i/>
          <w:sz w:val="24"/>
          <w:szCs w:val="24"/>
        </w:rPr>
        <w:t xml:space="preserve">Informed </w:t>
      </w:r>
      <w:proofErr w:type="spellStart"/>
      <w:r w:rsidRPr="00533A31">
        <w:rPr>
          <w:i/>
          <w:sz w:val="24"/>
          <w:szCs w:val="24"/>
        </w:rPr>
        <w:t>consent:requiring</w:t>
      </w:r>
      <w:proofErr w:type="spellEnd"/>
      <w:r w:rsidRPr="00533A31">
        <w:rPr>
          <w:i/>
          <w:sz w:val="24"/>
          <w:szCs w:val="24"/>
        </w:rPr>
        <w:t xml:space="preserve"> doctors to disclose off-label use prescription and conflicts of interest</w:t>
      </w:r>
      <w:r w:rsidRPr="00533A31">
        <w:rPr>
          <w:sz w:val="24"/>
          <w:szCs w:val="24"/>
        </w:rPr>
        <w:t xml:space="preserve"> , Hastings Law Journal</w:t>
      </w:r>
      <w:r w:rsidRPr="00533A31">
        <w:rPr>
          <w:rFonts w:hint="eastAsia"/>
          <w:sz w:val="24"/>
          <w:szCs w:val="24"/>
        </w:rPr>
        <w:t>（</w:t>
      </w:r>
      <w:r w:rsidRPr="00533A31">
        <w:rPr>
          <w:sz w:val="24"/>
          <w:szCs w:val="24"/>
        </w:rPr>
        <w:t>2007.05</w:t>
      </w:r>
      <w:r w:rsidRPr="00533A31">
        <w:rPr>
          <w:rFonts w:hint="eastAsia"/>
          <w:sz w:val="24"/>
          <w:szCs w:val="24"/>
        </w:rPr>
        <w:t>）</w:t>
      </w:r>
    </w:p>
    <w:p w:rsidR="00DB326D" w:rsidRDefault="00DB326D" w:rsidP="00DB326D">
      <w:pPr>
        <w:spacing w:line="240" w:lineRule="atLeast"/>
      </w:pPr>
      <w:proofErr w:type="gramStart"/>
      <w:r w:rsidRPr="00533A31">
        <w:rPr>
          <w:b/>
        </w:rPr>
        <w:t>Edward P. Lansdale</w:t>
      </w:r>
      <w:r w:rsidRPr="00533A31">
        <w:t xml:space="preserve">, </w:t>
      </w:r>
      <w:r w:rsidRPr="00533A31">
        <w:rPr>
          <w:i/>
        </w:rPr>
        <w:t>USED AS DIRECTED?</w:t>
      </w:r>
      <w:proofErr w:type="gramEnd"/>
      <w:r w:rsidRPr="00533A31">
        <w:rPr>
          <w:i/>
        </w:rPr>
        <w:t xml:space="preserve"> HOW PROSECUTORS ARE EXPANDING THE FALSE CLAIMS ACT TO POLICE PHARMACEUTICAL OFF-LABEL MARKETING,</w:t>
      </w:r>
      <w:r w:rsidRPr="00533A31">
        <w:rPr>
          <w:b/>
        </w:rPr>
        <w:t xml:space="preserve"> 41New England Law Review</w:t>
      </w:r>
      <w:r w:rsidRPr="00533A31">
        <w:t>（</w:t>
      </w:r>
      <w:r w:rsidRPr="00533A31">
        <w:t>2006 Fall</w:t>
      </w:r>
      <w:r w:rsidRPr="002B5955">
        <w:rPr>
          <w:rFonts w:hint="eastAsia"/>
          <w:sz w:val="20"/>
        </w:rPr>
        <w:t>）</w:t>
      </w:r>
    </w:p>
    <w:p w:rsidR="00DB326D" w:rsidRDefault="00DB326D" w:rsidP="00DB326D">
      <w:pPr>
        <w:spacing w:line="240" w:lineRule="atLeast"/>
        <w:ind w:left="240" w:hangingChars="100" w:hanging="240"/>
        <w:rPr>
          <w:rFonts w:hint="eastAsia"/>
          <w:i/>
        </w:rPr>
      </w:pPr>
      <w:r w:rsidRPr="00533A31">
        <w:rPr>
          <w:b/>
          <w:lang w:eastAsia="ja-JP"/>
        </w:rPr>
        <w:lastRenderedPageBreak/>
        <w:t>John E. Osborn</w:t>
      </w:r>
      <w:r w:rsidRPr="00533A31">
        <w:rPr>
          <w:lang w:eastAsia="ja-JP"/>
        </w:rPr>
        <w:t xml:space="preserve">, </w:t>
      </w:r>
      <w:r w:rsidRPr="00533A31">
        <w:rPr>
          <w:i/>
          <w:lang w:eastAsia="ja-JP"/>
        </w:rPr>
        <w:t xml:space="preserve">Can I tell you the truth? A comparative perspective on regulating </w:t>
      </w:r>
    </w:p>
    <w:p w:rsidR="00DB326D" w:rsidRDefault="00DB326D" w:rsidP="00DB326D">
      <w:pPr>
        <w:spacing w:line="240" w:lineRule="atLeast"/>
        <w:ind w:left="240" w:hangingChars="100" w:hanging="240"/>
        <w:rPr>
          <w:rFonts w:hint="eastAsia"/>
          <w:b/>
        </w:rPr>
      </w:pPr>
      <w:proofErr w:type="gramStart"/>
      <w:r w:rsidRPr="00533A31">
        <w:rPr>
          <w:i/>
          <w:lang w:eastAsia="ja-JP"/>
        </w:rPr>
        <w:t>off-label</w:t>
      </w:r>
      <w:proofErr w:type="gramEnd"/>
      <w:r w:rsidRPr="00533A31">
        <w:rPr>
          <w:i/>
          <w:lang w:eastAsia="ja-JP"/>
        </w:rPr>
        <w:t xml:space="preserve"> scientific and medical information</w:t>
      </w:r>
      <w:r w:rsidRPr="00533A31">
        <w:rPr>
          <w:lang w:eastAsia="ja-JP"/>
        </w:rPr>
        <w:t xml:space="preserve">, </w:t>
      </w:r>
      <w:r w:rsidRPr="00533A31">
        <w:rPr>
          <w:b/>
          <w:lang w:eastAsia="ja-JP"/>
        </w:rPr>
        <w:t xml:space="preserve">Yale Journal of Health Policy, Law &amp; </w:t>
      </w:r>
    </w:p>
    <w:p w:rsidR="00DB326D" w:rsidRPr="00533A31" w:rsidRDefault="00DB326D" w:rsidP="00DB326D">
      <w:pPr>
        <w:spacing w:line="240" w:lineRule="atLeast"/>
        <w:ind w:left="240" w:hangingChars="100" w:hanging="240"/>
      </w:pPr>
      <w:r w:rsidRPr="00533A31">
        <w:rPr>
          <w:b/>
          <w:lang w:eastAsia="ja-JP"/>
        </w:rPr>
        <w:t>Ethics</w:t>
      </w:r>
      <w:r w:rsidRPr="00533A31">
        <w:t>（</w:t>
      </w:r>
      <w:r w:rsidRPr="00533A31">
        <w:rPr>
          <w:lang w:eastAsia="ja-JP"/>
        </w:rPr>
        <w:t>2010 Summer</w:t>
      </w:r>
      <w:r w:rsidRPr="00533A31">
        <w:t>）</w:t>
      </w:r>
    </w:p>
    <w:p w:rsidR="00DB326D" w:rsidRDefault="00DB326D" w:rsidP="00DB326D">
      <w:pPr>
        <w:pStyle w:val="aa"/>
        <w:spacing w:line="240" w:lineRule="atLeast"/>
        <w:rPr>
          <w:rFonts w:hint="eastAsia"/>
          <w:sz w:val="24"/>
          <w:szCs w:val="24"/>
        </w:rPr>
      </w:pPr>
      <w:r w:rsidRPr="00533A31">
        <w:rPr>
          <w:b/>
          <w:sz w:val="24"/>
          <w:szCs w:val="24"/>
        </w:rPr>
        <w:t xml:space="preserve">Richard C. </w:t>
      </w:r>
      <w:proofErr w:type="spellStart"/>
      <w:r w:rsidRPr="00533A31">
        <w:rPr>
          <w:b/>
          <w:sz w:val="24"/>
          <w:szCs w:val="24"/>
        </w:rPr>
        <w:t>Ausnes</w:t>
      </w:r>
      <w:r w:rsidRPr="00533A31">
        <w:rPr>
          <w:sz w:val="24"/>
          <w:szCs w:val="24"/>
        </w:rPr>
        <w:t>s</w:t>
      </w:r>
      <w:proofErr w:type="spellEnd"/>
      <w:r w:rsidRPr="00533A31">
        <w:rPr>
          <w:sz w:val="24"/>
          <w:szCs w:val="24"/>
        </w:rPr>
        <w:t xml:space="preserve">, </w:t>
      </w:r>
      <w:r w:rsidRPr="00533A31">
        <w:rPr>
          <w:i/>
          <w:sz w:val="24"/>
          <w:szCs w:val="24"/>
        </w:rPr>
        <w:t>Will More Aggressive Marketing Practices Lead to Greater Tort Liability for Prescription Drug Manufacturers?</w:t>
      </w:r>
      <w:r w:rsidRPr="00533A31">
        <w:rPr>
          <w:sz w:val="24"/>
          <w:szCs w:val="24"/>
        </w:rPr>
        <w:t>, 3</w:t>
      </w:r>
      <w:r w:rsidRPr="00533A31">
        <w:rPr>
          <w:b/>
          <w:sz w:val="24"/>
          <w:szCs w:val="24"/>
        </w:rPr>
        <w:t xml:space="preserve">7 WAKE FOREST L. REV. </w:t>
      </w:r>
      <w:r w:rsidRPr="00533A31">
        <w:rPr>
          <w:sz w:val="24"/>
          <w:szCs w:val="24"/>
        </w:rPr>
        <w:t>(2002)</w:t>
      </w:r>
    </w:p>
    <w:p w:rsidR="00DB326D" w:rsidRDefault="00DB326D" w:rsidP="00DB326D">
      <w:pPr>
        <w:pStyle w:val="aa"/>
        <w:rPr>
          <w:rFonts w:hint="eastAsia"/>
          <w:sz w:val="24"/>
          <w:szCs w:val="24"/>
        </w:rPr>
      </w:pPr>
      <w:r w:rsidRPr="00C9313B">
        <w:rPr>
          <w:b/>
          <w:sz w:val="24"/>
          <w:szCs w:val="24"/>
        </w:rPr>
        <w:t>Teresa Moran. Schwartz</w:t>
      </w:r>
      <w:r w:rsidRPr="00C9313B">
        <w:rPr>
          <w:sz w:val="24"/>
          <w:szCs w:val="24"/>
        </w:rPr>
        <w:t xml:space="preserve">, </w:t>
      </w:r>
      <w:r w:rsidRPr="00C9313B">
        <w:rPr>
          <w:i/>
          <w:sz w:val="24"/>
          <w:szCs w:val="24"/>
        </w:rPr>
        <w:t>Consumer-Directed Prescription Drug Advertising and the Learned Intermediary Rule</w:t>
      </w:r>
      <w:r w:rsidRPr="00C9313B">
        <w:rPr>
          <w:sz w:val="24"/>
          <w:szCs w:val="24"/>
        </w:rPr>
        <w:t xml:space="preserve">, </w:t>
      </w:r>
      <w:r w:rsidRPr="00C9313B">
        <w:rPr>
          <w:b/>
          <w:sz w:val="24"/>
          <w:szCs w:val="24"/>
        </w:rPr>
        <w:t>Food Drug Cosmetic Law Journal</w:t>
      </w:r>
      <w:r w:rsidRPr="00C9313B">
        <w:rPr>
          <w:sz w:val="24"/>
          <w:szCs w:val="24"/>
        </w:rPr>
        <w:t>, (1991.11)</w:t>
      </w:r>
    </w:p>
    <w:p w:rsidR="00DB326D" w:rsidRDefault="00DB326D" w:rsidP="00DB326D">
      <w:pPr>
        <w:pStyle w:val="aa"/>
        <w:rPr>
          <w:rFonts w:hint="eastAsia"/>
          <w:sz w:val="24"/>
          <w:szCs w:val="24"/>
        </w:rPr>
      </w:pPr>
      <w:r w:rsidRPr="0041376D">
        <w:rPr>
          <w:b/>
          <w:sz w:val="24"/>
          <w:szCs w:val="24"/>
        </w:rPr>
        <w:t xml:space="preserve">Peter H. </w:t>
      </w:r>
      <w:proofErr w:type="spellStart"/>
      <w:r w:rsidRPr="0041376D">
        <w:rPr>
          <w:b/>
          <w:sz w:val="24"/>
          <w:szCs w:val="24"/>
        </w:rPr>
        <w:t>Schuck</w:t>
      </w:r>
      <w:proofErr w:type="spellEnd"/>
      <w:r w:rsidRPr="0041376D">
        <w:rPr>
          <w:sz w:val="24"/>
          <w:szCs w:val="24"/>
        </w:rPr>
        <w:t xml:space="preserve">, </w:t>
      </w:r>
      <w:r w:rsidRPr="0041376D">
        <w:rPr>
          <w:i/>
          <w:sz w:val="24"/>
          <w:szCs w:val="24"/>
        </w:rPr>
        <w:t>Rethinking Informed Consent</w:t>
      </w:r>
      <w:r w:rsidRPr="0041376D">
        <w:rPr>
          <w:sz w:val="24"/>
          <w:szCs w:val="24"/>
        </w:rPr>
        <w:t xml:space="preserve">, </w:t>
      </w:r>
      <w:proofErr w:type="gramStart"/>
      <w:r w:rsidRPr="0041376D">
        <w:rPr>
          <w:b/>
          <w:sz w:val="24"/>
          <w:szCs w:val="24"/>
        </w:rPr>
        <w:t>103 YALE L.J</w:t>
      </w:r>
      <w:r w:rsidRPr="0041376D">
        <w:rPr>
          <w:sz w:val="24"/>
          <w:szCs w:val="24"/>
        </w:rPr>
        <w:t xml:space="preserve"> (1994)</w:t>
      </w:r>
      <w:proofErr w:type="gramEnd"/>
    </w:p>
    <w:p w:rsidR="00DB326D" w:rsidRDefault="00DB326D" w:rsidP="00DB326D">
      <w:pPr>
        <w:pStyle w:val="aa"/>
        <w:rPr>
          <w:rFonts w:hint="eastAsia"/>
          <w:sz w:val="24"/>
          <w:szCs w:val="24"/>
        </w:rPr>
      </w:pPr>
      <w:r w:rsidRPr="0041376D">
        <w:rPr>
          <w:b/>
          <w:sz w:val="24"/>
          <w:szCs w:val="24"/>
        </w:rPr>
        <w:t>Daniel W. Whitney</w:t>
      </w:r>
      <w:r w:rsidRPr="0041376D">
        <w:rPr>
          <w:sz w:val="24"/>
          <w:szCs w:val="24"/>
        </w:rPr>
        <w:t xml:space="preserve">, </w:t>
      </w:r>
      <w:r w:rsidRPr="0041376D">
        <w:rPr>
          <w:i/>
          <w:sz w:val="24"/>
          <w:szCs w:val="24"/>
        </w:rPr>
        <w:t>GUIDE TO PREEMPTION OF STATE-LAW CLAIMS AGAINST CLASS III PMA MEDICAL DEVICES</w:t>
      </w:r>
      <w:r w:rsidRPr="0041376D">
        <w:rPr>
          <w:sz w:val="24"/>
          <w:szCs w:val="24"/>
        </w:rPr>
        <w:t xml:space="preserve">, </w:t>
      </w:r>
      <w:r w:rsidRPr="0041376D">
        <w:rPr>
          <w:b/>
          <w:sz w:val="24"/>
          <w:szCs w:val="24"/>
        </w:rPr>
        <w:t>Food and Drug Law Journal</w:t>
      </w:r>
      <w:r w:rsidRPr="0041376D">
        <w:rPr>
          <w:sz w:val="24"/>
          <w:szCs w:val="24"/>
        </w:rPr>
        <w:t>（</w:t>
      </w:r>
      <w:r w:rsidRPr="0041376D">
        <w:rPr>
          <w:sz w:val="24"/>
          <w:szCs w:val="24"/>
        </w:rPr>
        <w:t>2010</w:t>
      </w:r>
      <w:r w:rsidRPr="0041376D">
        <w:rPr>
          <w:sz w:val="24"/>
          <w:szCs w:val="24"/>
        </w:rPr>
        <w:t>）</w:t>
      </w:r>
    </w:p>
    <w:p w:rsidR="00DB326D" w:rsidRDefault="00DB326D" w:rsidP="00DB326D">
      <w:pPr>
        <w:pStyle w:val="aa"/>
        <w:spacing w:line="240" w:lineRule="atLeast"/>
        <w:rPr>
          <w:rFonts w:hint="eastAsia"/>
          <w:sz w:val="24"/>
          <w:szCs w:val="24"/>
        </w:rPr>
      </w:pPr>
      <w:r w:rsidRPr="0041376D">
        <w:rPr>
          <w:b/>
          <w:sz w:val="24"/>
          <w:szCs w:val="24"/>
        </w:rPr>
        <w:t xml:space="preserve">Andrea </w:t>
      </w:r>
      <w:proofErr w:type="spellStart"/>
      <w:r w:rsidRPr="0041376D">
        <w:rPr>
          <w:b/>
          <w:sz w:val="24"/>
          <w:szCs w:val="24"/>
        </w:rPr>
        <w:t>Ahn</w:t>
      </w:r>
      <w:proofErr w:type="spellEnd"/>
      <w:r w:rsidRPr="0041376D">
        <w:rPr>
          <w:sz w:val="24"/>
          <w:szCs w:val="24"/>
        </w:rPr>
        <w:t xml:space="preserve">, </w:t>
      </w:r>
      <w:r w:rsidRPr="0041376D">
        <w:rPr>
          <w:i/>
          <w:sz w:val="24"/>
          <w:szCs w:val="24"/>
        </w:rPr>
        <w:t>WYETH v. LEVINE: MOVING AWAY FROM THE GEIER TREND</w:t>
      </w:r>
      <w:r w:rsidRPr="0041376D">
        <w:rPr>
          <w:sz w:val="24"/>
          <w:szCs w:val="24"/>
        </w:rPr>
        <w:t xml:space="preserve">, </w:t>
      </w:r>
      <w:r w:rsidRPr="0041376D">
        <w:rPr>
          <w:b/>
          <w:sz w:val="24"/>
          <w:szCs w:val="24"/>
        </w:rPr>
        <w:t>Denver University Law Review</w:t>
      </w:r>
      <w:r w:rsidRPr="0041376D">
        <w:rPr>
          <w:sz w:val="24"/>
          <w:szCs w:val="24"/>
        </w:rPr>
        <w:t xml:space="preserve"> </w:t>
      </w:r>
      <w:r w:rsidRPr="0041376D">
        <w:rPr>
          <w:sz w:val="24"/>
          <w:szCs w:val="24"/>
        </w:rPr>
        <w:t>（</w:t>
      </w:r>
      <w:r w:rsidRPr="0041376D">
        <w:rPr>
          <w:sz w:val="24"/>
          <w:szCs w:val="24"/>
        </w:rPr>
        <w:t>2010</w:t>
      </w:r>
      <w:r w:rsidRPr="0041376D">
        <w:rPr>
          <w:sz w:val="24"/>
          <w:szCs w:val="24"/>
        </w:rPr>
        <w:t>）</w:t>
      </w:r>
    </w:p>
    <w:p w:rsidR="00DB326D" w:rsidRDefault="00DB326D" w:rsidP="00DB326D">
      <w:pPr>
        <w:spacing w:line="240" w:lineRule="atLeast"/>
        <w:rPr>
          <w:rFonts w:hint="eastAsia"/>
        </w:rPr>
      </w:pPr>
      <w:r w:rsidRPr="00FF062C">
        <w:rPr>
          <w:b/>
          <w:lang w:eastAsia="ja-JP"/>
        </w:rPr>
        <w:t xml:space="preserve">Matt </w:t>
      </w:r>
      <w:proofErr w:type="spellStart"/>
      <w:r w:rsidRPr="00FF062C">
        <w:rPr>
          <w:b/>
          <w:lang w:eastAsia="ja-JP"/>
        </w:rPr>
        <w:t>Altshuler</w:t>
      </w:r>
      <w:proofErr w:type="spellEnd"/>
      <w:r w:rsidRPr="00FF062C">
        <w:rPr>
          <w:b/>
          <w:lang w:eastAsia="ja-JP"/>
        </w:rPr>
        <w:t xml:space="preserve">, </w:t>
      </w:r>
      <w:proofErr w:type="spellStart"/>
      <w:r w:rsidRPr="00FF062C">
        <w:rPr>
          <w:b/>
          <w:lang w:eastAsia="ja-JP"/>
        </w:rPr>
        <w:t>J.Kyden</w:t>
      </w:r>
      <w:proofErr w:type="spellEnd"/>
      <w:r w:rsidRPr="00FF062C">
        <w:rPr>
          <w:b/>
          <w:lang w:eastAsia="ja-JP"/>
        </w:rPr>
        <w:t xml:space="preserve"> </w:t>
      </w:r>
      <w:proofErr w:type="spellStart"/>
      <w:r w:rsidRPr="00FF062C">
        <w:rPr>
          <w:b/>
          <w:lang w:eastAsia="ja-JP"/>
        </w:rPr>
        <w:t>Creekpaum</w:t>
      </w:r>
      <w:proofErr w:type="spellEnd"/>
      <w:r w:rsidRPr="00FF062C">
        <w:rPr>
          <w:b/>
          <w:lang w:eastAsia="ja-JP"/>
        </w:rPr>
        <w:t>, Jim Fang,</w:t>
      </w:r>
      <w:r w:rsidRPr="0041376D">
        <w:rPr>
          <w:lang w:eastAsia="ja-JP"/>
        </w:rPr>
        <w:t xml:space="preserve"> </w:t>
      </w:r>
      <w:r w:rsidRPr="0041376D">
        <w:rPr>
          <w:i/>
          <w:lang w:eastAsia="ja-JP"/>
        </w:rPr>
        <w:t>H</w:t>
      </w:r>
      <w:r w:rsidRPr="0041376D">
        <w:rPr>
          <w:i/>
        </w:rPr>
        <w:t>EALTH CARE FRAUD</w:t>
      </w:r>
      <w:r w:rsidRPr="0041376D">
        <w:rPr>
          <w:i/>
          <w:lang w:eastAsia="ja-JP"/>
        </w:rPr>
        <w:t>,</w:t>
      </w:r>
      <w:r w:rsidRPr="0041376D">
        <w:rPr>
          <w:lang w:eastAsia="ja-JP"/>
        </w:rPr>
        <w:t xml:space="preserve"> </w:t>
      </w:r>
      <w:r w:rsidRPr="00FF062C">
        <w:rPr>
          <w:b/>
          <w:lang w:eastAsia="ja-JP"/>
        </w:rPr>
        <w:t>American Criminal Law</w:t>
      </w:r>
      <w:r w:rsidRPr="00FF062C">
        <w:rPr>
          <w:b/>
        </w:rPr>
        <w:t xml:space="preserve"> </w:t>
      </w:r>
      <w:r w:rsidRPr="00FF062C">
        <w:rPr>
          <w:b/>
          <w:lang w:eastAsia="ja-JP"/>
        </w:rPr>
        <w:t>Review</w:t>
      </w:r>
      <w:r w:rsidRPr="0041376D">
        <w:t>（</w:t>
      </w:r>
      <w:r w:rsidRPr="0041376D">
        <w:rPr>
          <w:lang w:eastAsia="ja-JP"/>
        </w:rPr>
        <w:t>2008</w:t>
      </w:r>
      <w:r w:rsidRPr="0041376D">
        <w:t>）</w:t>
      </w:r>
    </w:p>
    <w:p w:rsidR="00DB326D" w:rsidRPr="00CB1747" w:rsidRDefault="00DB326D" w:rsidP="00DB326D">
      <w:pPr>
        <w:spacing w:line="240" w:lineRule="atLeast"/>
        <w:rPr>
          <w:rFonts w:hint="eastAsia"/>
        </w:rPr>
      </w:pPr>
      <w:r w:rsidRPr="00CB1747">
        <w:rPr>
          <w:b/>
        </w:rPr>
        <w:t>Stephanie Greene</w:t>
      </w:r>
      <w:r w:rsidRPr="00CB1747">
        <w:t xml:space="preserve"> , </w:t>
      </w:r>
      <w:r w:rsidRPr="00CB1747">
        <w:rPr>
          <w:i/>
        </w:rPr>
        <w:t xml:space="preserve">False Claims Act Liability For Off-Label Promotion Of Pharmaceutical Products , </w:t>
      </w:r>
      <w:r w:rsidRPr="00CB1747">
        <w:rPr>
          <w:b/>
        </w:rPr>
        <w:t>Penn state Law Review</w:t>
      </w:r>
      <w:r w:rsidRPr="00CB1747">
        <w:t>（</w:t>
      </w:r>
      <w:r w:rsidRPr="00CB1747">
        <w:t>2005</w:t>
      </w:r>
      <w:r w:rsidRPr="00CB1747">
        <w:t>）</w:t>
      </w:r>
    </w:p>
    <w:p w:rsidR="00DB326D" w:rsidRPr="00CB1747" w:rsidRDefault="00DB326D" w:rsidP="00DB326D">
      <w:pPr>
        <w:pStyle w:val="aa"/>
        <w:rPr>
          <w:rFonts w:hint="eastAsia"/>
          <w:sz w:val="24"/>
          <w:szCs w:val="24"/>
        </w:rPr>
      </w:pPr>
      <w:r w:rsidRPr="00CB1747">
        <w:rPr>
          <w:b/>
          <w:sz w:val="24"/>
          <w:szCs w:val="24"/>
        </w:rPr>
        <w:t>Cynthia A. Moyer</w:t>
      </w:r>
      <w:r w:rsidRPr="00CB1747">
        <w:rPr>
          <w:sz w:val="24"/>
          <w:szCs w:val="24"/>
        </w:rPr>
        <w:t xml:space="preserve">, </w:t>
      </w:r>
      <w:r w:rsidRPr="00CB1747">
        <w:rPr>
          <w:i/>
          <w:sz w:val="24"/>
          <w:szCs w:val="24"/>
        </w:rPr>
        <w:t>OFF-LABEL USE AND THE MEDICAL NEGLIGENCE STANDARD UNDER MINNESOTA LAW</w:t>
      </w:r>
      <w:r w:rsidRPr="00CB1747">
        <w:rPr>
          <w:sz w:val="24"/>
          <w:szCs w:val="24"/>
        </w:rPr>
        <w:t xml:space="preserve">, </w:t>
      </w:r>
      <w:r w:rsidRPr="00CB1747">
        <w:rPr>
          <w:b/>
          <w:sz w:val="24"/>
          <w:szCs w:val="24"/>
        </w:rPr>
        <w:t>William Mitchell Law Review</w:t>
      </w:r>
      <w:r w:rsidRPr="00CB1747">
        <w:rPr>
          <w:rFonts w:hint="eastAsia"/>
          <w:sz w:val="24"/>
          <w:szCs w:val="24"/>
        </w:rPr>
        <w:t>（</w:t>
      </w:r>
      <w:r w:rsidRPr="00CB1747">
        <w:rPr>
          <w:rFonts w:hint="eastAsia"/>
          <w:sz w:val="24"/>
          <w:szCs w:val="24"/>
        </w:rPr>
        <w:t>2005</w:t>
      </w:r>
      <w:r w:rsidRPr="00CB1747">
        <w:rPr>
          <w:rFonts w:hint="eastAsia"/>
          <w:sz w:val="24"/>
          <w:szCs w:val="24"/>
        </w:rPr>
        <w:t>）</w:t>
      </w:r>
    </w:p>
    <w:p w:rsidR="00DB326D" w:rsidRPr="00CB1747" w:rsidRDefault="00DB326D" w:rsidP="00DB326D">
      <w:pPr>
        <w:pStyle w:val="aa"/>
        <w:tabs>
          <w:tab w:val="left" w:pos="0"/>
        </w:tabs>
        <w:spacing w:line="240" w:lineRule="atLeast"/>
        <w:rPr>
          <w:sz w:val="24"/>
          <w:szCs w:val="24"/>
        </w:rPr>
      </w:pPr>
      <w:r w:rsidRPr="00CB1747">
        <w:rPr>
          <w:b/>
          <w:sz w:val="24"/>
          <w:szCs w:val="24"/>
        </w:rPr>
        <w:t>James R. Bird</w:t>
      </w:r>
      <w:r w:rsidRPr="00CB1747">
        <w:rPr>
          <w:sz w:val="24"/>
          <w:szCs w:val="24"/>
        </w:rPr>
        <w:t>, Comment</w:t>
      </w:r>
      <w:proofErr w:type="gramStart"/>
      <w:r w:rsidRPr="00CB1747">
        <w:rPr>
          <w:sz w:val="24"/>
          <w:szCs w:val="24"/>
        </w:rPr>
        <w:t>,</w:t>
      </w:r>
      <w:proofErr w:type="gramEnd"/>
      <w:r w:rsidRPr="00CB1747">
        <w:rPr>
          <w:i/>
          <w:sz w:val="24"/>
          <w:szCs w:val="24"/>
        </w:rPr>
        <w:t xml:space="preserve"> Package Inserts for Prescription Drugs as Evidence in Medical Malpractice Suits</w:t>
      </w:r>
      <w:r w:rsidRPr="00CB1747">
        <w:rPr>
          <w:sz w:val="24"/>
          <w:szCs w:val="24"/>
        </w:rPr>
        <w:t xml:space="preserve">, </w:t>
      </w:r>
      <w:r w:rsidRPr="00CB1747">
        <w:rPr>
          <w:rFonts w:cs="Arial"/>
          <w:b/>
          <w:sz w:val="24"/>
          <w:szCs w:val="24"/>
        </w:rPr>
        <w:t>The University of Chicago Law Review</w:t>
      </w:r>
      <w:r w:rsidRPr="00CB1747">
        <w:rPr>
          <w:sz w:val="24"/>
          <w:szCs w:val="24"/>
        </w:rPr>
        <w:t xml:space="preserve"> (1977).</w:t>
      </w:r>
    </w:p>
    <w:p w:rsidR="00DB326D" w:rsidRPr="00CB1747" w:rsidRDefault="00DB326D" w:rsidP="00DB326D">
      <w:pPr>
        <w:spacing w:line="240" w:lineRule="atLeast"/>
      </w:pPr>
      <w:r w:rsidRPr="00CB1747">
        <w:rPr>
          <w:b/>
        </w:rPr>
        <w:t>Mark Herrmann</w:t>
      </w:r>
      <w:r w:rsidRPr="00CB1747">
        <w:rPr>
          <w:rFonts w:hint="eastAsia"/>
          <w:b/>
        </w:rPr>
        <w:t>、</w:t>
      </w:r>
      <w:r w:rsidRPr="00CB1747">
        <w:rPr>
          <w:b/>
        </w:rPr>
        <w:t xml:space="preserve">Pearson </w:t>
      </w:r>
      <w:proofErr w:type="spellStart"/>
      <w:r w:rsidRPr="00CB1747">
        <w:rPr>
          <w:b/>
        </w:rPr>
        <w:t>Bownas</w:t>
      </w:r>
      <w:proofErr w:type="spellEnd"/>
      <w:r w:rsidRPr="00CB1747">
        <w:t xml:space="preserve">, </w:t>
      </w:r>
      <w:r w:rsidRPr="00CB1747">
        <w:rPr>
          <w:i/>
        </w:rPr>
        <w:t>KEEPING THE LABEL OUT OF THE CASE</w:t>
      </w:r>
      <w:r w:rsidRPr="00CB1747">
        <w:t xml:space="preserve">, </w:t>
      </w:r>
      <w:r w:rsidRPr="00CB1747">
        <w:rPr>
          <w:b/>
        </w:rPr>
        <w:t>Northwestern University Law Review Colloquy</w:t>
      </w:r>
      <w:r w:rsidRPr="00CB1747">
        <w:t xml:space="preserve"> </w:t>
      </w:r>
      <w:r w:rsidRPr="00CB1747">
        <w:rPr>
          <w:rFonts w:hint="eastAsia"/>
        </w:rPr>
        <w:t>（</w:t>
      </w:r>
      <w:r w:rsidRPr="00CB1747">
        <w:t xml:space="preserve">2009 </w:t>
      </w:r>
      <w:r>
        <w:rPr>
          <w:rFonts w:hint="eastAsia"/>
        </w:rPr>
        <w:t>.4.</w:t>
      </w:r>
      <w:r w:rsidRPr="00CB1747">
        <w:t>20</w:t>
      </w:r>
      <w:r w:rsidRPr="00CB1747">
        <w:rPr>
          <w:rFonts w:hint="eastAsia"/>
        </w:rPr>
        <w:t>）</w:t>
      </w:r>
    </w:p>
    <w:p w:rsidR="00DB326D" w:rsidRPr="00DB326D" w:rsidRDefault="00DB326D" w:rsidP="00DB326D">
      <w:pPr>
        <w:ind w:firstLineChars="650" w:firstLine="1562"/>
        <w:rPr>
          <w:rFonts w:ascii="標楷體" w:eastAsia="標楷體" w:hAnsi="標楷體"/>
          <w:sz w:val="44"/>
          <w:szCs w:val="44"/>
        </w:rPr>
      </w:pPr>
      <w:r w:rsidRPr="00CB1747">
        <w:rPr>
          <w:b/>
          <w:szCs w:val="24"/>
        </w:rPr>
        <w:t>Lars Noah</w:t>
      </w:r>
      <w:r w:rsidRPr="00CB1747">
        <w:rPr>
          <w:szCs w:val="24"/>
        </w:rPr>
        <w:t xml:space="preserve">, </w:t>
      </w:r>
      <w:r w:rsidRPr="00CB1747">
        <w:rPr>
          <w:i/>
          <w:szCs w:val="24"/>
        </w:rPr>
        <w:t>INFORMED CONSENT AND THE ELUSIVE DICHOTOMY BETWEEN STANDARD AND EXPERIMENTAL THERAPY</w:t>
      </w:r>
      <w:r w:rsidRPr="00CB1747">
        <w:rPr>
          <w:szCs w:val="24"/>
        </w:rPr>
        <w:t xml:space="preserve">, </w:t>
      </w:r>
      <w:r w:rsidRPr="00CB1747">
        <w:rPr>
          <w:b/>
          <w:szCs w:val="24"/>
        </w:rPr>
        <w:t>American Journal of Law and Medicine</w:t>
      </w:r>
      <w:r>
        <w:rPr>
          <w:rFonts w:hint="eastAsia"/>
          <w:b/>
          <w:szCs w:val="24"/>
        </w:rPr>
        <w:t>（</w:t>
      </w:r>
      <w:r w:rsidRPr="00CB1747">
        <w:rPr>
          <w:szCs w:val="24"/>
        </w:rPr>
        <w:t>2002</w:t>
      </w:r>
      <w:r>
        <w:rPr>
          <w:rFonts w:hint="eastAsia"/>
          <w:szCs w:val="24"/>
        </w:rPr>
        <w:t>）</w:t>
      </w:r>
    </w:p>
    <w:sectPr w:rsidR="00DB326D" w:rsidRPr="00DB326D" w:rsidSect="005D2B8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6D" w:rsidRDefault="00DB326D" w:rsidP="00DB326D">
      <w:r>
        <w:separator/>
      </w:r>
    </w:p>
  </w:endnote>
  <w:endnote w:type="continuationSeparator" w:id="0">
    <w:p w:rsidR="00DB326D" w:rsidRDefault="00DB326D" w:rsidP="00DB3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Hei Pro">
    <w:altName w:val="細明體"/>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標楷體....">
    <w:altName w:val="標楷體"/>
    <w:panose1 w:val="00000000000000000000"/>
    <w:charset w:val="88"/>
    <w:family w:val="script"/>
    <w:notTrueType/>
    <w:pitch w:val="default"/>
    <w:sig w:usb0="00000001" w:usb1="08080000" w:usb2="00000010" w:usb3="00000000" w:csb0="00100000" w:csb1="00000000"/>
  </w:font>
  <w:font w:name="文鼎新細明">
    <w:altName w:val="細明體"/>
    <w:panose1 w:val="00000000000000000000"/>
    <w:charset w:val="88"/>
    <w:family w:val="auto"/>
    <w:notTrueType/>
    <w:pitch w:val="default"/>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6D" w:rsidRDefault="00DB326D" w:rsidP="00DB326D">
      <w:r>
        <w:separator/>
      </w:r>
    </w:p>
  </w:footnote>
  <w:footnote w:type="continuationSeparator" w:id="0">
    <w:p w:rsidR="00DB326D" w:rsidRDefault="00DB326D" w:rsidP="00DB326D">
      <w:r>
        <w:continuationSeparator/>
      </w:r>
    </w:p>
  </w:footnote>
  <w:footnote w:id="1">
    <w:p w:rsidR="00DB326D" w:rsidRDefault="00DB326D" w:rsidP="00DB326D">
      <w:pPr>
        <w:pStyle w:val="aa"/>
        <w:ind w:left="200" w:hangingChars="100" w:hanging="200"/>
      </w:pPr>
      <w:r>
        <w:rPr>
          <w:rStyle w:val="ac"/>
        </w:rPr>
        <w:footnoteRef/>
      </w:r>
      <w:r>
        <w:t xml:space="preserve"> </w:t>
      </w:r>
      <w:r>
        <w:rPr>
          <w:rFonts w:hint="eastAsia"/>
        </w:rPr>
        <w:t>我國醫療器材部分之限制規範在藥事法第</w:t>
      </w:r>
      <w:r>
        <w:t>40</w:t>
      </w:r>
      <w:r>
        <w:rPr>
          <w:rFonts w:hint="eastAsia"/>
        </w:rPr>
        <w:t>條、醫療器材查驗登記審查準則、醫療法施行細則第</w:t>
      </w:r>
      <w:r>
        <w:t>2</w:t>
      </w:r>
      <w:r>
        <w:rPr>
          <w:rFonts w:hint="eastAsia"/>
        </w:rPr>
        <w:t>條</w:t>
      </w:r>
    </w:p>
  </w:footnote>
  <w:footnote w:id="2">
    <w:p w:rsidR="00DB326D" w:rsidRDefault="00DB326D" w:rsidP="00DB326D">
      <w:pPr>
        <w:pStyle w:val="aa"/>
        <w:ind w:left="200" w:hangingChars="100" w:hanging="200"/>
      </w:pPr>
      <w:r>
        <w:rPr>
          <w:rStyle w:val="ac"/>
        </w:rPr>
        <w:footnoteRef/>
      </w:r>
      <w:r>
        <w:t xml:space="preserve"> </w:t>
      </w:r>
      <w:r>
        <w:rPr>
          <w:rFonts w:hint="eastAsia"/>
        </w:rPr>
        <w:t>以美國為例規定於</w:t>
      </w:r>
      <w:r w:rsidRPr="00D20E05">
        <w:rPr>
          <w:rFonts w:hAnsi="新細明體" w:cs="標楷體" w:hint="eastAsia"/>
        </w:rPr>
        <w:t>聯邦管理法</w:t>
      </w:r>
      <w:r>
        <w:rPr>
          <w:rFonts w:hAnsi="新細明體" w:cs="標楷體" w:hint="eastAsia"/>
        </w:rPr>
        <w:t>（</w:t>
      </w:r>
      <w:r w:rsidRPr="00D20E05">
        <w:rPr>
          <w:rFonts w:cs="標楷體"/>
        </w:rPr>
        <w:t>Code of Federal Regulations</w:t>
      </w:r>
      <w:r>
        <w:rPr>
          <w:rFonts w:cs="標楷體" w:hint="eastAsia"/>
        </w:rPr>
        <w:t>）</w:t>
      </w:r>
      <w:r>
        <w:rPr>
          <w:rFonts w:cs="標楷體" w:hint="eastAsia"/>
        </w:rPr>
        <w:t>第</w:t>
      </w:r>
      <w:r>
        <w:rPr>
          <w:rFonts w:cs="標楷體"/>
        </w:rPr>
        <w:t>21</w:t>
      </w:r>
      <w:r>
        <w:rPr>
          <w:rFonts w:cs="標楷體" w:hint="eastAsia"/>
        </w:rPr>
        <w:t>主題</w:t>
      </w:r>
      <w:r>
        <w:rPr>
          <w:rFonts w:cs="標楷體"/>
        </w:rPr>
        <w:t>312</w:t>
      </w:r>
      <w:r>
        <w:rPr>
          <w:rFonts w:cs="標楷體" w:hint="eastAsia"/>
        </w:rPr>
        <w:t>條規範</w:t>
      </w:r>
      <w:r>
        <w:rPr>
          <w:rFonts w:cs="標楷體"/>
        </w:rPr>
        <w:t>IND</w:t>
      </w:r>
      <w:r>
        <w:rPr>
          <w:rFonts w:ascii="標楷體" w:eastAsia="標楷體" w:hAnsi="標楷體" w:cs="標楷體" w:hint="eastAsia"/>
          <w:sz w:val="28"/>
          <w:szCs w:val="28"/>
        </w:rPr>
        <w:t>，</w:t>
      </w:r>
      <w:r w:rsidRPr="00000BDA">
        <w:rPr>
          <w:rFonts w:cs="標楷體"/>
        </w:rPr>
        <w:t>21 C.F.R</w:t>
      </w:r>
      <w:r>
        <w:rPr>
          <w:rFonts w:cs="標楷體"/>
        </w:rPr>
        <w:t>312</w:t>
      </w:r>
      <w:r w:rsidRPr="00000BDA">
        <w:rPr>
          <w:rFonts w:cs="標楷體"/>
        </w:rPr>
        <w:t xml:space="preserve"> </w:t>
      </w:r>
      <w:r>
        <w:rPr>
          <w:rFonts w:cs="標楷體"/>
        </w:rPr>
        <w:t xml:space="preserve"> </w:t>
      </w:r>
    </w:p>
  </w:footnote>
  <w:footnote w:id="3">
    <w:p w:rsidR="00DB326D" w:rsidRDefault="00DB326D" w:rsidP="00DB326D">
      <w:pPr>
        <w:spacing w:line="240" w:lineRule="exact"/>
        <w:ind w:left="240" w:hangingChars="100" w:hanging="240"/>
      </w:pPr>
      <w:r>
        <w:rPr>
          <w:rStyle w:val="ac"/>
        </w:rPr>
        <w:footnoteRef/>
      </w:r>
      <w:r>
        <w:t xml:space="preserve"> </w:t>
      </w:r>
      <w:proofErr w:type="spellStart"/>
      <w:r w:rsidRPr="00F85C42">
        <w:rPr>
          <w:b/>
          <w:sz w:val="20"/>
          <w:szCs w:val="20"/>
          <w:lang w:eastAsia="ja-JP"/>
        </w:rPr>
        <w:t>Santosh</w:t>
      </w:r>
      <w:proofErr w:type="spellEnd"/>
      <w:r w:rsidRPr="00F85C42">
        <w:rPr>
          <w:b/>
          <w:sz w:val="20"/>
          <w:szCs w:val="20"/>
          <w:lang w:eastAsia="ja-JP"/>
        </w:rPr>
        <w:t xml:space="preserve"> V. </w:t>
      </w:r>
      <w:proofErr w:type="spellStart"/>
      <w:r w:rsidRPr="00F85C42">
        <w:rPr>
          <w:b/>
          <w:sz w:val="20"/>
          <w:szCs w:val="20"/>
          <w:lang w:eastAsia="ja-JP"/>
        </w:rPr>
        <w:t>Coutinho</w:t>
      </w:r>
      <w:proofErr w:type="spellEnd"/>
      <w:r w:rsidRPr="00CD1362">
        <w:rPr>
          <w:sz w:val="20"/>
          <w:szCs w:val="20"/>
          <w:lang w:eastAsia="ja-JP"/>
        </w:rPr>
        <w:t>,</w:t>
      </w:r>
      <w:r w:rsidRPr="00F373C5">
        <w:rPr>
          <w:i/>
          <w:sz w:val="20"/>
          <w:szCs w:val="20"/>
          <w:lang w:eastAsia="ja-JP"/>
        </w:rPr>
        <w:t xml:space="preserve"> License to promote, or just what the doctor ordered? </w:t>
      </w:r>
      <w:r w:rsidRPr="00F373C5">
        <w:rPr>
          <w:i/>
          <w:sz w:val="20"/>
          <w:szCs w:val="20"/>
          <w:lang w:eastAsia="ja-JP"/>
        </w:rPr>
        <w:t>The new FDA Guidance on dissemination of off-label reprints by pharmaceutical companies</w:t>
      </w:r>
      <w:r w:rsidRPr="00CD1362">
        <w:rPr>
          <w:sz w:val="20"/>
          <w:szCs w:val="20"/>
          <w:lang w:eastAsia="ja-JP"/>
        </w:rPr>
        <w:t xml:space="preserve">, </w:t>
      </w:r>
      <w:r w:rsidRPr="00F85C42">
        <w:rPr>
          <w:b/>
          <w:sz w:val="20"/>
          <w:szCs w:val="20"/>
          <w:lang w:eastAsia="ja-JP"/>
        </w:rPr>
        <w:t>Temple Journal of Science</w:t>
      </w:r>
      <w:r w:rsidRPr="00F85C42">
        <w:rPr>
          <w:rFonts w:hint="eastAsia"/>
          <w:b/>
          <w:sz w:val="20"/>
          <w:szCs w:val="20"/>
        </w:rPr>
        <w:t>、</w:t>
      </w:r>
      <w:r w:rsidRPr="00F85C42">
        <w:rPr>
          <w:b/>
          <w:sz w:val="20"/>
          <w:szCs w:val="20"/>
          <w:lang w:eastAsia="ja-JP"/>
        </w:rPr>
        <w:t xml:space="preserve"> Technology &amp; Environmental Law</w:t>
      </w:r>
      <w:r w:rsidRPr="00CD1362">
        <w:rPr>
          <w:sz w:val="20"/>
          <w:szCs w:val="20"/>
          <w:lang w:eastAsia="ja-JP"/>
        </w:rPr>
        <w:t>, Fall 2009</w:t>
      </w:r>
    </w:p>
  </w:footnote>
  <w:footnote w:id="4">
    <w:p w:rsidR="00DB326D" w:rsidRDefault="00DB326D" w:rsidP="00DB326D">
      <w:pPr>
        <w:pStyle w:val="aa"/>
        <w:ind w:left="200" w:hangingChars="100" w:hanging="200"/>
      </w:pPr>
      <w:r>
        <w:rPr>
          <w:rStyle w:val="ac"/>
        </w:rPr>
        <w:footnoteRef/>
      </w:r>
      <w:r>
        <w:t xml:space="preserve"> </w:t>
      </w:r>
      <w:r>
        <w:rPr>
          <w:rFonts w:hint="eastAsia"/>
        </w:rPr>
        <w:t>另從藥事法第</w:t>
      </w:r>
      <w:r>
        <w:t>39</w:t>
      </w:r>
      <w:r>
        <w:rPr>
          <w:rFonts w:hint="eastAsia"/>
        </w:rPr>
        <w:t>條、第</w:t>
      </w:r>
      <w:r>
        <w:t>75</w:t>
      </w:r>
      <w:r>
        <w:rPr>
          <w:rFonts w:hint="eastAsia"/>
        </w:rPr>
        <w:t>條；藥事法施行細則第</w:t>
      </w:r>
      <w:r>
        <w:t>7</w:t>
      </w:r>
      <w:r>
        <w:rPr>
          <w:rFonts w:hint="eastAsia"/>
        </w:rPr>
        <w:t>條、</w:t>
      </w:r>
      <w:r>
        <w:t>27</w:t>
      </w:r>
      <w:r>
        <w:rPr>
          <w:rFonts w:hint="eastAsia"/>
        </w:rPr>
        <w:t>條；優良藥品製造標準第</w:t>
      </w:r>
      <w:r>
        <w:t>3</w:t>
      </w:r>
      <w:r>
        <w:rPr>
          <w:rFonts w:hint="eastAsia"/>
        </w:rPr>
        <w:t>條；藥品查驗登記審查準則第</w:t>
      </w:r>
      <w:r>
        <w:t>20</w:t>
      </w:r>
      <w:r>
        <w:rPr>
          <w:rFonts w:hint="eastAsia"/>
        </w:rPr>
        <w:t>條，都可以看出標籤與仿單兩者併列之法條結構</w:t>
      </w:r>
    </w:p>
  </w:footnote>
  <w:footnote w:id="5">
    <w:p w:rsidR="00DB326D" w:rsidRDefault="00DB326D" w:rsidP="00DB326D">
      <w:pPr>
        <w:pStyle w:val="aa"/>
      </w:pPr>
      <w:r>
        <w:rPr>
          <w:rStyle w:val="ac"/>
        </w:rPr>
        <w:footnoteRef/>
      </w:r>
      <w:r>
        <w:t xml:space="preserve"> </w:t>
      </w:r>
      <w:r>
        <w:rPr>
          <w:rFonts w:hint="eastAsia"/>
        </w:rPr>
        <w:t>參見藥事法第</w:t>
      </w:r>
      <w:r>
        <w:t>79</w:t>
      </w:r>
      <w:r>
        <w:rPr>
          <w:rFonts w:hint="eastAsia"/>
        </w:rPr>
        <w:t>條、藥品查驗登記審查準則第</w:t>
      </w:r>
      <w:r>
        <w:t>20</w:t>
      </w:r>
      <w:r>
        <w:rPr>
          <w:rFonts w:hint="eastAsia"/>
        </w:rPr>
        <w:t>條</w:t>
      </w:r>
    </w:p>
  </w:footnote>
  <w:footnote w:id="6">
    <w:p w:rsidR="00DB326D" w:rsidRDefault="00DB326D" w:rsidP="00DB326D">
      <w:pPr>
        <w:pStyle w:val="aa"/>
      </w:pPr>
      <w:r>
        <w:rPr>
          <w:rStyle w:val="ac"/>
        </w:rPr>
        <w:footnoteRef/>
      </w:r>
      <w:r>
        <w:t xml:space="preserve"> </w:t>
      </w:r>
      <w:r>
        <w:rPr>
          <w:rFonts w:hint="eastAsia"/>
        </w:rPr>
        <w:t>參見藥事法第</w:t>
      </w:r>
      <w:r>
        <w:t>80</w:t>
      </w:r>
      <w:r>
        <w:rPr>
          <w:rFonts w:hint="eastAsia"/>
        </w:rPr>
        <w:t>條及第</w:t>
      </w:r>
      <w:r>
        <w:t>86</w:t>
      </w:r>
      <w:r>
        <w:rPr>
          <w:rFonts w:hint="eastAsia"/>
        </w:rPr>
        <w:t>條</w:t>
      </w:r>
    </w:p>
  </w:footnote>
  <w:footnote w:id="7">
    <w:p w:rsidR="00DB326D" w:rsidRDefault="00DB326D" w:rsidP="00DB326D">
      <w:pPr>
        <w:pStyle w:val="aa"/>
        <w:ind w:left="100" w:hangingChars="50" w:hanging="100"/>
      </w:pPr>
      <w:r>
        <w:rPr>
          <w:rStyle w:val="ac"/>
        </w:rPr>
        <w:footnoteRef/>
      </w:r>
      <w:r>
        <w:t xml:space="preserve"> </w:t>
      </w:r>
      <w:r>
        <w:t>21CFR314.50</w:t>
      </w:r>
      <w:r>
        <w:rPr>
          <w:rFonts w:hint="eastAsia"/>
        </w:rPr>
        <w:t>（</w:t>
      </w:r>
      <w:r>
        <w:t>a</w:t>
      </w:r>
      <w:r>
        <w:rPr>
          <w:rFonts w:hint="eastAsia"/>
        </w:rPr>
        <w:t>）</w:t>
      </w:r>
    </w:p>
  </w:footnote>
  <w:footnote w:id="8">
    <w:p w:rsidR="00DB326D" w:rsidRDefault="00DB326D" w:rsidP="00DB326D">
      <w:pPr>
        <w:pStyle w:val="aa"/>
        <w:ind w:left="200" w:hangingChars="100" w:hanging="200"/>
      </w:pPr>
      <w:r>
        <w:rPr>
          <w:rStyle w:val="ac"/>
        </w:rPr>
        <w:footnoteRef/>
      </w:r>
      <w:r>
        <w:t xml:space="preserve"> </w:t>
      </w:r>
      <w:r w:rsidRPr="00F85C42">
        <w:rPr>
          <w:b/>
        </w:rPr>
        <w:t xml:space="preserve">Richard C. </w:t>
      </w:r>
      <w:proofErr w:type="spellStart"/>
      <w:r w:rsidRPr="00F85C42">
        <w:rPr>
          <w:b/>
        </w:rPr>
        <w:t>Ausness</w:t>
      </w:r>
      <w:proofErr w:type="spellEnd"/>
      <w:r>
        <w:t xml:space="preserve"> , </w:t>
      </w:r>
      <w:r w:rsidRPr="00AE27BB">
        <w:rPr>
          <w:i/>
        </w:rPr>
        <w:t xml:space="preserve">There’s danger here , </w:t>
      </w:r>
      <w:proofErr w:type="spellStart"/>
      <w:r w:rsidRPr="00AE27BB">
        <w:rPr>
          <w:i/>
        </w:rPr>
        <w:t>cherie</w:t>
      </w:r>
      <w:proofErr w:type="spellEnd"/>
      <w:r w:rsidRPr="00AE27BB">
        <w:rPr>
          <w:i/>
        </w:rPr>
        <w:t>!:</w:t>
      </w:r>
      <w:r>
        <w:rPr>
          <w:i/>
        </w:rPr>
        <w:t xml:space="preserve"> </w:t>
      </w:r>
      <w:r w:rsidRPr="00AE27BB">
        <w:rPr>
          <w:i/>
        </w:rPr>
        <w:t>Liability for the promotion and ma</w:t>
      </w:r>
      <w:r>
        <w:rPr>
          <w:i/>
        </w:rPr>
        <w:t>r</w:t>
      </w:r>
      <w:r w:rsidRPr="00AE27BB">
        <w:rPr>
          <w:i/>
        </w:rPr>
        <w:t xml:space="preserve">keting of drug and medical devices for off-label use </w:t>
      </w:r>
      <w:r>
        <w:t xml:space="preserve">, </w:t>
      </w:r>
      <w:r w:rsidRPr="00F85C42">
        <w:rPr>
          <w:b/>
        </w:rPr>
        <w:t xml:space="preserve">Brooklyn Law Review </w:t>
      </w:r>
      <w:r>
        <w:t xml:space="preserve">, summer 2008   </w:t>
      </w:r>
    </w:p>
  </w:footnote>
  <w:footnote w:id="9">
    <w:p w:rsidR="00DB326D" w:rsidRDefault="00DB326D" w:rsidP="00DB326D">
      <w:pPr>
        <w:pStyle w:val="aa"/>
      </w:pPr>
      <w:r>
        <w:rPr>
          <w:rStyle w:val="ac"/>
        </w:rPr>
        <w:footnoteRef/>
      </w:r>
      <w:r>
        <w:t xml:space="preserve"> </w:t>
      </w:r>
      <w:proofErr w:type="gramStart"/>
      <w:r w:rsidRPr="00B21648">
        <w:rPr>
          <w:rStyle w:val="ad"/>
          <w:rFonts w:cs="Arial"/>
          <w:color w:val="auto"/>
        </w:rPr>
        <w:t>12 Food &amp; Drug Bull.</w:t>
      </w:r>
      <w:proofErr w:type="gramEnd"/>
      <w:r w:rsidRPr="00B21648">
        <w:rPr>
          <w:rStyle w:val="ad"/>
          <w:rFonts w:cs="Arial"/>
          <w:color w:val="auto"/>
        </w:rPr>
        <w:t xml:space="preserve"> </w:t>
      </w:r>
      <w:proofErr w:type="gramStart"/>
      <w:r w:rsidRPr="00B21648">
        <w:rPr>
          <w:rStyle w:val="ad"/>
          <w:rFonts w:cs="Arial"/>
          <w:color w:val="auto"/>
        </w:rPr>
        <w:t>3</w:t>
      </w:r>
      <w:r w:rsidRPr="00B21648">
        <w:rPr>
          <w:rFonts w:cs="Arial"/>
        </w:rPr>
        <w:t xml:space="preserve">, </w:t>
      </w:r>
      <w:r w:rsidRPr="00B21648">
        <w:rPr>
          <w:rStyle w:val="ad"/>
          <w:rFonts w:cs="Arial"/>
          <w:color w:val="auto"/>
        </w:rPr>
        <w:t>5</w:t>
      </w:r>
      <w:r w:rsidRPr="00B21648">
        <w:rPr>
          <w:rFonts w:cs="Arial"/>
        </w:rPr>
        <w:t xml:space="preserve"> (</w:t>
      </w:r>
      <w:r w:rsidRPr="00B21648">
        <w:rPr>
          <w:rStyle w:val="ad"/>
          <w:rFonts w:cs="Arial"/>
          <w:color w:val="auto"/>
        </w:rPr>
        <w:t>1982</w:t>
      </w:r>
      <w:r w:rsidRPr="00B21648">
        <w:rPr>
          <w:rFonts w:cs="Arial"/>
        </w:rPr>
        <w:t>).</w:t>
      </w:r>
      <w:proofErr w:type="gramEnd"/>
    </w:p>
  </w:footnote>
  <w:footnote w:id="10">
    <w:p w:rsidR="00DB326D" w:rsidRDefault="00DB326D" w:rsidP="00DB326D">
      <w:pPr>
        <w:pStyle w:val="aa"/>
        <w:ind w:left="200" w:hangingChars="100" w:hanging="200"/>
      </w:pPr>
      <w:r>
        <w:rPr>
          <w:rStyle w:val="ac"/>
        </w:rPr>
        <w:footnoteRef/>
      </w:r>
      <w:r w:rsidRPr="00482E0A">
        <w:t xml:space="preserve"> Anne </w:t>
      </w:r>
      <w:proofErr w:type="spellStart"/>
      <w:r w:rsidRPr="00482E0A">
        <w:t>Peik</w:t>
      </w:r>
      <w:proofErr w:type="spellEnd"/>
      <w:r w:rsidRPr="00482E0A">
        <w:t xml:space="preserve"> v.</w:t>
      </w:r>
      <w:r>
        <w:rPr>
          <w:rFonts w:hint="eastAsia"/>
        </w:rPr>
        <w:t xml:space="preserve"> </w:t>
      </w:r>
      <w:proofErr w:type="spellStart"/>
      <w:r w:rsidRPr="00482E0A">
        <w:t>GlennA.Kawesch</w:t>
      </w:r>
      <w:proofErr w:type="spellEnd"/>
      <w:r w:rsidRPr="00482E0A">
        <w:rPr>
          <w:rFonts w:hint="eastAsia"/>
        </w:rPr>
        <w:t>，</w:t>
      </w:r>
      <w:r w:rsidRPr="00482E0A">
        <w:t>2007WL1821381</w:t>
      </w:r>
      <w:r>
        <w:rPr>
          <w:rFonts w:hint="eastAsia"/>
        </w:rPr>
        <w:t>（</w:t>
      </w:r>
      <w:r>
        <w:t>Cal.App.4Dist</w:t>
      </w:r>
      <w:r>
        <w:rPr>
          <w:rFonts w:hint="eastAsia"/>
        </w:rPr>
        <w:t>），該案牽涉以</w:t>
      </w:r>
      <w:r w:rsidRPr="00A2000B">
        <w:t>LASIK</w:t>
      </w:r>
      <w:r>
        <w:rPr>
          <w:rFonts w:hint="eastAsia"/>
        </w:rPr>
        <w:t>之</w:t>
      </w:r>
      <w:r w:rsidRPr="00A2000B">
        <w:rPr>
          <w:rFonts w:hint="eastAsia"/>
        </w:rPr>
        <w:t>雷射光治療遠視是屬於違反</w:t>
      </w:r>
      <w:r w:rsidRPr="00A2000B">
        <w:t>PDA</w:t>
      </w:r>
      <w:r w:rsidRPr="00A2000B">
        <w:rPr>
          <w:rFonts w:hint="eastAsia"/>
        </w:rPr>
        <w:t>核准雷射光醫療器材使用之適應症</w:t>
      </w:r>
      <w:r>
        <w:rPr>
          <w:rFonts w:hint="eastAsia"/>
        </w:rPr>
        <w:t>，</w:t>
      </w:r>
      <w:r w:rsidRPr="00A2000B">
        <w:rPr>
          <w:rFonts w:hint="eastAsia"/>
        </w:rPr>
        <w:t>當時核准使用僅</w:t>
      </w:r>
      <w:r w:rsidRPr="00A2000B">
        <w:t>PRK</w:t>
      </w:r>
    </w:p>
  </w:footnote>
  <w:footnote w:id="11">
    <w:p w:rsidR="00DB326D" w:rsidRDefault="00DB326D" w:rsidP="00DB326D">
      <w:pPr>
        <w:pStyle w:val="aa"/>
        <w:ind w:left="200" w:hangingChars="100" w:hanging="200"/>
      </w:pPr>
      <w:r>
        <w:rPr>
          <w:rStyle w:val="ac"/>
        </w:rPr>
        <w:footnoteRef/>
      </w:r>
      <w:r>
        <w:t xml:space="preserve"> </w:t>
      </w:r>
      <w:r>
        <w:rPr>
          <w:rFonts w:hint="eastAsia"/>
        </w:rPr>
        <w:t>參見汪紹銘律師著，藥品之仿單外使用（</w:t>
      </w:r>
      <w:r>
        <w:t>OFF-LABEL USE</w:t>
      </w:r>
      <w:r>
        <w:rPr>
          <w:rFonts w:hint="eastAsia"/>
        </w:rPr>
        <w:t>）之法律問題</w:t>
      </w:r>
      <w:r>
        <w:fldChar w:fldCharType="begin"/>
      </w:r>
      <w:r>
        <w:instrText>HYPERLINK "http://www.rootlaw.com.tw/blog/wanglawyer2/?p=441"</w:instrText>
      </w:r>
      <w:r>
        <w:fldChar w:fldCharType="separate"/>
      </w:r>
      <w:r w:rsidRPr="00313244">
        <w:rPr>
          <w:rStyle w:val="ae"/>
        </w:rPr>
        <w:t>http://www.rootlaw.com.tw/blog/wanglawyer2/?p=441</w:t>
      </w:r>
      <w:r>
        <w:fldChar w:fldCharType="end"/>
      </w:r>
      <w:r>
        <w:rPr>
          <w:rFonts w:hint="eastAsia"/>
        </w:rPr>
        <w:t>，</w:t>
      </w:r>
      <w:r>
        <w:t>visited on 01/03/2010</w:t>
      </w:r>
    </w:p>
  </w:footnote>
  <w:footnote w:id="12">
    <w:p w:rsidR="00DB326D" w:rsidRDefault="00DB326D" w:rsidP="00DB326D">
      <w:pPr>
        <w:pStyle w:val="aa"/>
        <w:ind w:left="300" w:hangingChars="150" w:hanging="300"/>
      </w:pPr>
      <w:r>
        <w:rPr>
          <w:rStyle w:val="ac"/>
        </w:rPr>
        <w:footnoteRef/>
      </w:r>
      <w:r>
        <w:t xml:space="preserve"> </w:t>
      </w:r>
      <w:r>
        <w:rPr>
          <w:rFonts w:hint="eastAsia"/>
        </w:rPr>
        <w:t>在對於未成年人施以精神科用藥時最為顯著，例如對於青少年使用</w:t>
      </w:r>
      <w:r w:rsidRPr="00F07224">
        <w:rPr>
          <w:rFonts w:hAnsi="Arial" w:cs="Arial"/>
        </w:rPr>
        <w:t>帕羅西汀</w:t>
      </w:r>
      <w:r w:rsidRPr="00F07224">
        <w:rPr>
          <w:rFonts w:hAnsi="新細明體" w:cs="Arial" w:hint="eastAsia"/>
        </w:rPr>
        <w:t>（</w:t>
      </w:r>
      <w:r w:rsidRPr="00F07224">
        <w:rPr>
          <w:rFonts w:cs="Arial" w:hint="eastAsia"/>
        </w:rPr>
        <w:t>Paxil</w:t>
      </w:r>
      <w:r w:rsidRPr="00F07224">
        <w:rPr>
          <w:rFonts w:hAnsi="新細明體" w:cs="Arial" w:hint="eastAsia"/>
        </w:rPr>
        <w:t>）</w:t>
      </w:r>
      <w:r>
        <w:rPr>
          <w:rFonts w:hAnsi="新細明體" w:cs="Arial" w:hint="eastAsia"/>
        </w:rPr>
        <w:t>治療</w:t>
      </w:r>
      <w:r w:rsidRPr="00F07224">
        <w:rPr>
          <w:rFonts w:hAnsi="Arial" w:cs="Arial"/>
        </w:rPr>
        <w:t>形體醜陋恐懼症</w:t>
      </w:r>
      <w:r w:rsidRPr="00F07224">
        <w:rPr>
          <w:rFonts w:hAnsi="新細明體" w:cs="Arial" w:hint="eastAsia"/>
        </w:rPr>
        <w:t>（</w:t>
      </w:r>
      <w:r w:rsidRPr="00F07224">
        <w:rPr>
          <w:rFonts w:cs="Arial"/>
        </w:rPr>
        <w:t xml:space="preserve">Body </w:t>
      </w:r>
      <w:proofErr w:type="spellStart"/>
      <w:r w:rsidRPr="00F85C42">
        <w:rPr>
          <w:rStyle w:val="ad"/>
          <w:rFonts w:cs="Arial"/>
          <w:color w:val="auto"/>
        </w:rPr>
        <w:t>dysmorphic</w:t>
      </w:r>
      <w:proofErr w:type="spellEnd"/>
      <w:r w:rsidRPr="00F07224">
        <w:rPr>
          <w:rFonts w:cs="Arial"/>
        </w:rPr>
        <w:t xml:space="preserve"> disorder</w:t>
      </w:r>
      <w:r w:rsidRPr="00F07224">
        <w:rPr>
          <w:rFonts w:hAnsi="新細明體" w:cs="Arial" w:hint="eastAsia"/>
        </w:rPr>
        <w:t>）</w:t>
      </w:r>
      <w:r>
        <w:rPr>
          <w:rFonts w:hAnsi="新細明體" w:cs="Arial" w:hint="eastAsia"/>
        </w:rPr>
        <w:t>導致自殺，</w:t>
      </w:r>
      <w:r>
        <w:rPr>
          <w:rFonts w:hint="eastAsia"/>
        </w:rPr>
        <w:t xml:space="preserve">Marion </w:t>
      </w:r>
      <w:proofErr w:type="spellStart"/>
      <w:r>
        <w:rPr>
          <w:rFonts w:hint="eastAsia"/>
        </w:rPr>
        <w:t>L.Knipe</w:t>
      </w:r>
      <w:proofErr w:type="spellEnd"/>
      <w:r>
        <w:rPr>
          <w:rFonts w:hint="eastAsia"/>
        </w:rPr>
        <w:t xml:space="preserve"> v. </w:t>
      </w:r>
      <w:proofErr w:type="spellStart"/>
      <w:r>
        <w:rPr>
          <w:rFonts w:hint="eastAsia"/>
        </w:rPr>
        <w:t>Smithkline</w:t>
      </w:r>
      <w:proofErr w:type="spellEnd"/>
      <w:r>
        <w:rPr>
          <w:rFonts w:hint="eastAsia"/>
        </w:rPr>
        <w:t xml:space="preserve"> Beecham d/b/a </w:t>
      </w:r>
      <w:proofErr w:type="spellStart"/>
      <w:r>
        <w:rPr>
          <w:rFonts w:hint="eastAsia"/>
        </w:rPr>
        <w:t>Glaxosmithkline</w:t>
      </w:r>
      <w:proofErr w:type="spellEnd"/>
      <w:r>
        <w:rPr>
          <w:rFonts w:hint="eastAsia"/>
        </w:rPr>
        <w:t xml:space="preserve"> United States District </w:t>
      </w:r>
      <w:proofErr w:type="spellStart"/>
      <w:r>
        <w:rPr>
          <w:rFonts w:hint="eastAsia"/>
        </w:rPr>
        <w:t>Court,E.D</w:t>
      </w:r>
      <w:proofErr w:type="spellEnd"/>
      <w:r>
        <w:rPr>
          <w:rFonts w:hint="eastAsia"/>
        </w:rPr>
        <w:t xml:space="preserve"> Pennsylvania</w:t>
      </w:r>
      <w:r>
        <w:rPr>
          <w:rFonts w:hint="eastAsia"/>
        </w:rPr>
        <w:t>，</w:t>
      </w:r>
      <w:r>
        <w:rPr>
          <w:rFonts w:hint="eastAsia"/>
        </w:rPr>
        <w:t>9/30/2008</w:t>
      </w:r>
      <w:r>
        <w:t xml:space="preserve"> </w:t>
      </w:r>
      <w:r>
        <w:rPr>
          <w:rFonts w:hint="eastAsia"/>
        </w:rPr>
        <w:t>civil action no.063024</w:t>
      </w:r>
    </w:p>
  </w:footnote>
  <w:footnote w:id="13">
    <w:p w:rsidR="00DB326D" w:rsidRDefault="00DB326D" w:rsidP="00DB326D">
      <w:pPr>
        <w:pStyle w:val="aa"/>
        <w:ind w:left="300" w:hangingChars="150" w:hanging="300"/>
      </w:pPr>
      <w:r>
        <w:rPr>
          <w:rStyle w:val="ac"/>
        </w:rPr>
        <w:footnoteRef/>
      </w:r>
      <w:r>
        <w:t xml:space="preserve"> </w:t>
      </w:r>
      <w:proofErr w:type="gramStart"/>
      <w:r w:rsidRPr="00F85C42">
        <w:rPr>
          <w:b/>
        </w:rPr>
        <w:t xml:space="preserve">James O’Reilly &amp; Amy </w:t>
      </w:r>
      <w:proofErr w:type="spellStart"/>
      <w:r w:rsidRPr="00F85C42">
        <w:rPr>
          <w:b/>
        </w:rPr>
        <w:t>Dalal</w:t>
      </w:r>
      <w:proofErr w:type="spellEnd"/>
      <w:r w:rsidRPr="00F765DA">
        <w:t xml:space="preserve">, </w:t>
      </w:r>
      <w:r w:rsidRPr="00E054E5">
        <w:rPr>
          <w:rFonts w:cs="Arial"/>
          <w:i/>
        </w:rPr>
        <w:t>Off-Label or Out of Bounds?</w:t>
      </w:r>
      <w:proofErr w:type="gramEnd"/>
      <w:r w:rsidRPr="00E054E5">
        <w:rPr>
          <w:rFonts w:cs="Arial"/>
          <w:i/>
        </w:rPr>
        <w:t xml:space="preserve"> </w:t>
      </w:r>
      <w:proofErr w:type="gramStart"/>
      <w:r w:rsidRPr="00E054E5">
        <w:rPr>
          <w:rFonts w:cs="Arial"/>
          <w:i/>
        </w:rPr>
        <w:t>Prescriber and Marketer Liability for Unapproved Use of FDA-Approved Drugs</w:t>
      </w:r>
      <w:r w:rsidRPr="00F765DA">
        <w:rPr>
          <w:rFonts w:cs="Arial"/>
        </w:rPr>
        <w:t xml:space="preserve">, 12 </w:t>
      </w:r>
      <w:r w:rsidRPr="00F85C42">
        <w:rPr>
          <w:rFonts w:cs="Arial"/>
          <w:b/>
        </w:rPr>
        <w:t>Annals Health L</w:t>
      </w:r>
      <w:r w:rsidRPr="00F765DA">
        <w:rPr>
          <w:rFonts w:cs="Arial"/>
        </w:rPr>
        <w:t>. 295 (2003).</w:t>
      </w:r>
      <w:proofErr w:type="gramEnd"/>
    </w:p>
  </w:footnote>
  <w:footnote w:id="14">
    <w:p w:rsidR="00DB326D" w:rsidRPr="007C54C2" w:rsidRDefault="00DB326D" w:rsidP="00DB326D">
      <w:pPr>
        <w:pStyle w:val="aa"/>
        <w:rPr>
          <w:rFonts w:cs="Arial"/>
          <w:i/>
        </w:rPr>
      </w:pPr>
      <w:r>
        <w:rPr>
          <w:rStyle w:val="ac"/>
        </w:rPr>
        <w:footnoteRef/>
      </w:r>
      <w:r w:rsidRPr="00F85C42">
        <w:rPr>
          <w:b/>
        </w:rPr>
        <w:t xml:space="preserve"> David </w:t>
      </w:r>
      <w:proofErr w:type="spellStart"/>
      <w:r w:rsidRPr="00F85C42">
        <w:rPr>
          <w:b/>
        </w:rPr>
        <w:t>C.</w:t>
      </w:r>
      <w:r w:rsidRPr="00F85C42">
        <w:rPr>
          <w:rFonts w:cs="Arial"/>
          <w:b/>
        </w:rPr>
        <w:t>Radley</w:t>
      </w:r>
      <w:proofErr w:type="spellEnd"/>
      <w:r w:rsidRPr="00F85C42">
        <w:rPr>
          <w:rFonts w:cs="Arial"/>
          <w:b/>
        </w:rPr>
        <w:t xml:space="preserve">, Stan N. </w:t>
      </w:r>
      <w:r w:rsidRPr="00F85C42">
        <w:rPr>
          <w:rStyle w:val="ad"/>
          <w:rFonts w:cs="Arial"/>
          <w:b/>
          <w:color w:val="auto"/>
        </w:rPr>
        <w:t>Finkelstein.</w:t>
      </w:r>
      <w:r w:rsidRPr="00F85C42">
        <w:rPr>
          <w:rFonts w:cs="Arial"/>
          <w:b/>
        </w:rPr>
        <w:t xml:space="preserve">, </w:t>
      </w:r>
      <w:r w:rsidRPr="00F85C42">
        <w:rPr>
          <w:rStyle w:val="ad"/>
          <w:rFonts w:cs="Arial"/>
          <w:b/>
          <w:color w:val="auto"/>
        </w:rPr>
        <w:t>Randall S</w:t>
      </w:r>
      <w:r w:rsidRPr="00F85C42">
        <w:rPr>
          <w:rFonts w:cs="Arial"/>
          <w:b/>
        </w:rPr>
        <w:t xml:space="preserve"> Stafford</w:t>
      </w:r>
      <w:r w:rsidRPr="007C54C2">
        <w:rPr>
          <w:rFonts w:cs="Arial"/>
        </w:rPr>
        <w:t xml:space="preserve">, </w:t>
      </w:r>
      <w:r w:rsidRPr="007C54C2">
        <w:rPr>
          <w:rFonts w:cs="Arial"/>
          <w:i/>
        </w:rPr>
        <w:t xml:space="preserve">Off-label prescribing among </w:t>
      </w:r>
    </w:p>
    <w:p w:rsidR="00DB326D" w:rsidRDefault="00DB326D" w:rsidP="00DB326D">
      <w:pPr>
        <w:pStyle w:val="aa"/>
      </w:pPr>
      <w:r w:rsidRPr="007C54C2">
        <w:rPr>
          <w:rFonts w:cs="Arial"/>
          <w:i/>
        </w:rPr>
        <w:t xml:space="preserve">   </w:t>
      </w:r>
      <w:proofErr w:type="gramStart"/>
      <w:r w:rsidRPr="007C54C2">
        <w:rPr>
          <w:rFonts w:cs="Arial"/>
          <w:i/>
        </w:rPr>
        <w:t>office-based</w:t>
      </w:r>
      <w:proofErr w:type="gramEnd"/>
      <w:r w:rsidRPr="007C54C2">
        <w:rPr>
          <w:rFonts w:cs="Arial"/>
          <w:i/>
        </w:rPr>
        <w:t xml:space="preserve"> physicians</w:t>
      </w:r>
      <w:r w:rsidRPr="007C54C2">
        <w:rPr>
          <w:rFonts w:cs="Arial"/>
        </w:rPr>
        <w:t>. 166</w:t>
      </w:r>
      <w:r w:rsidRPr="00F85C42">
        <w:rPr>
          <w:rFonts w:cs="Arial"/>
          <w:b/>
        </w:rPr>
        <w:t xml:space="preserve"> Arch. </w:t>
      </w:r>
      <w:proofErr w:type="gramStart"/>
      <w:r w:rsidRPr="00F85C42">
        <w:rPr>
          <w:rFonts w:cs="Arial"/>
          <w:b/>
        </w:rPr>
        <w:t>Intern</w:t>
      </w:r>
      <w:proofErr w:type="gramEnd"/>
      <w:r w:rsidRPr="00F85C42">
        <w:rPr>
          <w:rFonts w:cs="Arial"/>
          <w:b/>
        </w:rPr>
        <w:t>. Med</w:t>
      </w:r>
      <w:r w:rsidRPr="007C54C2">
        <w:rPr>
          <w:rFonts w:cs="Arial"/>
        </w:rPr>
        <w:t xml:space="preserve">. </w:t>
      </w:r>
      <w:proofErr w:type="gramStart"/>
      <w:r w:rsidRPr="007C54C2">
        <w:rPr>
          <w:rFonts w:cs="Arial"/>
        </w:rPr>
        <w:t>1021 ,</w:t>
      </w:r>
      <w:proofErr w:type="gramEnd"/>
      <w:r w:rsidRPr="007C54C2">
        <w:rPr>
          <w:rFonts w:cs="Arial"/>
        </w:rPr>
        <w:t xml:space="preserve"> 1023(2006).</w:t>
      </w:r>
      <w:r w:rsidRPr="007C54C2">
        <w:t xml:space="preserve"> </w:t>
      </w:r>
    </w:p>
  </w:footnote>
  <w:footnote w:id="15">
    <w:p w:rsidR="00DB326D" w:rsidRDefault="00DB326D" w:rsidP="00DB326D">
      <w:pPr>
        <w:pStyle w:val="aa"/>
        <w:ind w:left="200" w:hangingChars="100" w:hanging="200"/>
      </w:pPr>
      <w:r w:rsidRPr="007C54C2">
        <w:rPr>
          <w:rStyle w:val="ac"/>
        </w:rPr>
        <w:footnoteRef/>
      </w:r>
      <w:r w:rsidRPr="007C54C2">
        <w:t xml:space="preserve"> </w:t>
      </w:r>
      <w:r w:rsidRPr="00F85C42">
        <w:rPr>
          <w:rStyle w:val="ad"/>
          <w:rFonts w:cs="Arial"/>
          <w:b/>
          <w:color w:val="auto"/>
        </w:rPr>
        <w:t>Randall S</w:t>
      </w:r>
      <w:r w:rsidRPr="00F85C42">
        <w:rPr>
          <w:rFonts w:cs="Arial"/>
          <w:b/>
        </w:rPr>
        <w:t xml:space="preserve">. </w:t>
      </w:r>
      <w:r w:rsidRPr="00F85C42">
        <w:rPr>
          <w:rStyle w:val="ad"/>
          <w:rFonts w:cs="Arial"/>
          <w:b/>
          <w:color w:val="auto"/>
        </w:rPr>
        <w:t>Stafford</w:t>
      </w:r>
      <w:r w:rsidRPr="007C54C2">
        <w:rPr>
          <w:rFonts w:cs="Arial"/>
        </w:rPr>
        <w:t xml:space="preserve">, </w:t>
      </w:r>
      <w:r w:rsidRPr="007C54C2">
        <w:rPr>
          <w:rFonts w:cs="Arial"/>
          <w:i/>
        </w:rPr>
        <w:t>Perspective: Regulating off-label drug use: rethinking the role of the FDA,</w:t>
      </w:r>
      <w:r>
        <w:rPr>
          <w:rFonts w:cs="Arial" w:hint="eastAsia"/>
          <w:i/>
        </w:rPr>
        <w:t xml:space="preserve">   </w:t>
      </w:r>
      <w:r w:rsidRPr="00F85C42">
        <w:rPr>
          <w:rStyle w:val="ad"/>
          <w:rFonts w:cs="Arial"/>
          <w:b/>
          <w:color w:val="auto"/>
        </w:rPr>
        <w:t>N</w:t>
      </w:r>
      <w:r w:rsidRPr="00F85C42">
        <w:rPr>
          <w:rFonts w:cs="Arial"/>
          <w:b/>
        </w:rPr>
        <w:t>.</w:t>
      </w:r>
      <w:r>
        <w:rPr>
          <w:rFonts w:cs="Arial" w:hint="eastAsia"/>
          <w:b/>
        </w:rPr>
        <w:t xml:space="preserve"> </w:t>
      </w:r>
      <w:proofErr w:type="spellStart"/>
      <w:r w:rsidRPr="00F85C42">
        <w:rPr>
          <w:rStyle w:val="ad"/>
          <w:rFonts w:cs="Arial"/>
          <w:b/>
          <w:color w:val="auto"/>
        </w:rPr>
        <w:t>Engl</w:t>
      </w:r>
      <w:proofErr w:type="spellEnd"/>
      <w:r w:rsidRPr="00F85C42">
        <w:rPr>
          <w:rFonts w:cs="Arial"/>
          <w:b/>
        </w:rPr>
        <w:t xml:space="preserve"> J </w:t>
      </w:r>
      <w:r w:rsidRPr="00F85C42">
        <w:rPr>
          <w:rStyle w:val="ad"/>
          <w:rFonts w:cs="Arial"/>
          <w:b/>
          <w:color w:val="auto"/>
        </w:rPr>
        <w:t>Med</w:t>
      </w:r>
      <w:r w:rsidRPr="007C54C2">
        <w:rPr>
          <w:rFonts w:cs="Arial"/>
        </w:rPr>
        <w:t>, 1427</w:t>
      </w:r>
      <w:r w:rsidRPr="007C54C2">
        <w:rPr>
          <w:rFonts w:cs="Arial" w:hint="eastAsia"/>
        </w:rPr>
        <w:t>（</w:t>
      </w:r>
      <w:r w:rsidRPr="007C54C2">
        <w:rPr>
          <w:rFonts w:cs="Arial"/>
        </w:rPr>
        <w:t>2008.4.3</w:t>
      </w:r>
      <w:r w:rsidRPr="007C54C2">
        <w:rPr>
          <w:rFonts w:cs="Arial" w:hint="eastAsia"/>
        </w:rPr>
        <w:t>）</w:t>
      </w:r>
    </w:p>
  </w:footnote>
  <w:footnote w:id="16">
    <w:p w:rsidR="00DB326D" w:rsidRDefault="00DB326D" w:rsidP="00DB326D">
      <w:pPr>
        <w:pStyle w:val="aa"/>
        <w:ind w:left="200" w:hangingChars="100" w:hanging="200"/>
      </w:pPr>
      <w:r>
        <w:rPr>
          <w:rStyle w:val="ac"/>
        </w:rPr>
        <w:footnoteRef/>
      </w:r>
      <w:r>
        <w:t xml:space="preserve"> </w:t>
      </w:r>
      <w:r w:rsidRPr="00F85C42">
        <w:rPr>
          <w:b/>
        </w:rPr>
        <w:t>Margaret Z .Johns</w:t>
      </w:r>
      <w:r>
        <w:t xml:space="preserve"> , </w:t>
      </w:r>
      <w:r w:rsidRPr="00CE7C20">
        <w:rPr>
          <w:i/>
        </w:rPr>
        <w:t xml:space="preserve">Informed </w:t>
      </w:r>
      <w:proofErr w:type="spellStart"/>
      <w:r w:rsidRPr="00CE7C20">
        <w:rPr>
          <w:i/>
        </w:rPr>
        <w:t>consent:requiring</w:t>
      </w:r>
      <w:proofErr w:type="spellEnd"/>
      <w:r w:rsidRPr="00CE7C20">
        <w:rPr>
          <w:i/>
        </w:rPr>
        <w:t xml:space="preserve"> doctors to disclose off-label use prescription and conflicts of interest</w:t>
      </w:r>
      <w:r>
        <w:t xml:space="preserve"> , </w:t>
      </w:r>
      <w:r w:rsidRPr="00F85C42">
        <w:rPr>
          <w:b/>
        </w:rPr>
        <w:t>Hastings Law Journal</w:t>
      </w:r>
      <w:r>
        <w:rPr>
          <w:rFonts w:hint="eastAsia"/>
        </w:rPr>
        <w:t>（</w:t>
      </w:r>
      <w:r>
        <w:t>2007.05</w:t>
      </w:r>
      <w:r>
        <w:rPr>
          <w:rFonts w:hint="eastAsia"/>
        </w:rPr>
        <w:t>）及同註</w:t>
      </w:r>
      <w:r>
        <w:t xml:space="preserve">3  </w:t>
      </w:r>
    </w:p>
  </w:footnote>
  <w:footnote w:id="17">
    <w:p w:rsidR="00DB326D" w:rsidRDefault="00DB326D" w:rsidP="00DB326D">
      <w:pPr>
        <w:pStyle w:val="aa"/>
        <w:ind w:left="200" w:hangingChars="100" w:hanging="200"/>
      </w:pPr>
      <w:r>
        <w:rPr>
          <w:rStyle w:val="ac"/>
        </w:rPr>
        <w:footnoteRef/>
      </w:r>
      <w:r>
        <w:t xml:space="preserve"> </w:t>
      </w:r>
      <w:r>
        <w:rPr>
          <w:rFonts w:hint="eastAsia"/>
        </w:rPr>
        <w:t>陳俞潓，台北地區醫學中心醫師對藥品核准標示外使用的認知、態度與使用概況，國立台灣</w:t>
      </w:r>
      <w:r>
        <w:t xml:space="preserve"> </w:t>
      </w:r>
      <w:r>
        <w:rPr>
          <w:rFonts w:hint="eastAsia"/>
        </w:rPr>
        <w:t>大學衛生政策與管理研究所碩士論文，</w:t>
      </w:r>
      <w:r>
        <w:t>1999</w:t>
      </w:r>
      <w:r>
        <w:rPr>
          <w:rFonts w:hint="eastAsia"/>
        </w:rPr>
        <w:t>年</w:t>
      </w:r>
    </w:p>
  </w:footnote>
  <w:footnote w:id="18">
    <w:p w:rsidR="00DB326D" w:rsidRDefault="00DB326D" w:rsidP="00DB326D">
      <w:pPr>
        <w:pStyle w:val="aa"/>
      </w:pPr>
      <w:r>
        <w:rPr>
          <w:rStyle w:val="ac"/>
        </w:rPr>
        <w:footnoteRef/>
      </w:r>
      <w:r>
        <w:t xml:space="preserve"> </w:t>
      </w:r>
      <w:r>
        <w:rPr>
          <w:rFonts w:hint="eastAsia"/>
        </w:rPr>
        <w:t>林恩萱，</w:t>
      </w:r>
      <w:hyperlink r:id="rId1" w:history="1">
        <w:r w:rsidRPr="007C54C2">
          <w:rPr>
            <w:rStyle w:val="ae"/>
            <w:color w:val="auto"/>
            <w:u w:val="none"/>
          </w:rPr>
          <w:t>Carbamazepine</w:t>
        </w:r>
        <w:r w:rsidRPr="007C54C2">
          <w:rPr>
            <w:rStyle w:val="ae"/>
            <w:rFonts w:hAnsi="Verdana" w:hint="eastAsia"/>
            <w:color w:val="auto"/>
            <w:u w:val="none"/>
          </w:rPr>
          <w:t>藥品核准標示外使用（</w:t>
        </w:r>
        <w:r w:rsidRPr="007C54C2">
          <w:rPr>
            <w:rStyle w:val="ae"/>
            <w:color w:val="auto"/>
            <w:u w:val="none"/>
          </w:rPr>
          <w:t>Off-Label Use</w:t>
        </w:r>
        <w:r w:rsidRPr="007C54C2">
          <w:rPr>
            <w:rStyle w:val="ae"/>
            <w:rFonts w:hAnsi="Verdana" w:hint="eastAsia"/>
            <w:color w:val="auto"/>
            <w:u w:val="none"/>
          </w:rPr>
          <w:t>）之研究</w:t>
        </w:r>
      </w:hyperlink>
      <w:r w:rsidRPr="007C54C2">
        <w:rPr>
          <w:rFonts w:hint="eastAsia"/>
        </w:rPr>
        <w:t>，國</w:t>
      </w:r>
      <w:r>
        <w:rPr>
          <w:rFonts w:hint="eastAsia"/>
        </w:rPr>
        <w:t>立陽明大學衛生福</w:t>
      </w:r>
    </w:p>
    <w:p w:rsidR="00DB326D" w:rsidRDefault="00DB326D" w:rsidP="00DB326D">
      <w:pPr>
        <w:pStyle w:val="aa"/>
      </w:pPr>
      <w:r>
        <w:t xml:space="preserve">   </w:t>
      </w:r>
      <w:r>
        <w:rPr>
          <w:rFonts w:hint="eastAsia"/>
        </w:rPr>
        <w:t>利研究所碩士論文，頁</w:t>
      </w:r>
      <w:r>
        <w:t>60</w:t>
      </w:r>
      <w:r>
        <w:rPr>
          <w:rFonts w:hint="eastAsia"/>
        </w:rPr>
        <w:t>，</w:t>
      </w:r>
      <w:r>
        <w:t>2005</w:t>
      </w:r>
      <w:r>
        <w:rPr>
          <w:rFonts w:hint="eastAsia"/>
        </w:rPr>
        <w:t>年</w:t>
      </w:r>
      <w:r>
        <w:t>7</w:t>
      </w:r>
      <w:r>
        <w:rPr>
          <w:rFonts w:hint="eastAsia"/>
        </w:rPr>
        <w:t>月</w:t>
      </w:r>
    </w:p>
  </w:footnote>
  <w:footnote w:id="19">
    <w:p w:rsidR="00DB326D" w:rsidRDefault="00DB326D" w:rsidP="00DB326D">
      <w:pPr>
        <w:pStyle w:val="aa"/>
        <w:rPr>
          <w:rFonts w:cs="Arial"/>
        </w:rPr>
      </w:pPr>
      <w:r>
        <w:rPr>
          <w:rStyle w:val="ac"/>
        </w:rPr>
        <w:footnoteRef/>
      </w:r>
      <w:r>
        <w:t xml:space="preserve"> </w:t>
      </w:r>
      <w:r>
        <w:rPr>
          <w:rFonts w:hint="eastAsia"/>
        </w:rPr>
        <w:t>財團法人藥害救濟基金會</w:t>
      </w:r>
      <w:hyperlink r:id="rId2" w:history="1">
        <w:r w:rsidRPr="00F85C42">
          <w:rPr>
            <w:rStyle w:val="ae"/>
            <w:rFonts w:cs="Arial"/>
            <w:color w:val="auto"/>
            <w:u w:val="none"/>
          </w:rPr>
          <w:t>88</w:t>
        </w:r>
        <w:r w:rsidRPr="00F85C42">
          <w:rPr>
            <w:rStyle w:val="ae"/>
            <w:rFonts w:hAnsi="Arial" w:cs="Arial" w:hint="eastAsia"/>
            <w:color w:val="auto"/>
            <w:u w:val="none"/>
          </w:rPr>
          <w:t>年至</w:t>
        </w:r>
        <w:r w:rsidRPr="00F85C42">
          <w:rPr>
            <w:rStyle w:val="ae"/>
            <w:rFonts w:cs="Arial"/>
            <w:color w:val="auto"/>
            <w:u w:val="none"/>
          </w:rPr>
          <w:t>99</w:t>
        </w:r>
        <w:r w:rsidRPr="00F85C42">
          <w:rPr>
            <w:rStyle w:val="ae"/>
            <w:rFonts w:hAnsi="Arial" w:cs="Arial" w:hint="eastAsia"/>
            <w:color w:val="auto"/>
            <w:u w:val="none"/>
          </w:rPr>
          <w:t>年</w:t>
        </w:r>
        <w:r w:rsidRPr="00F85C42">
          <w:rPr>
            <w:rStyle w:val="ae"/>
            <w:rFonts w:cs="Arial"/>
            <w:color w:val="auto"/>
            <w:u w:val="none"/>
          </w:rPr>
          <w:t>7</w:t>
        </w:r>
        <w:r w:rsidRPr="00F85C42">
          <w:rPr>
            <w:rStyle w:val="ae"/>
            <w:rFonts w:hAnsi="Arial" w:cs="Arial" w:hint="eastAsia"/>
            <w:color w:val="auto"/>
            <w:u w:val="none"/>
          </w:rPr>
          <w:t>月藥害救濟申請暨審議案件統計資料</w:t>
        </w:r>
      </w:hyperlink>
    </w:p>
    <w:p w:rsidR="00DB326D" w:rsidRDefault="00DB326D" w:rsidP="00DB326D">
      <w:pPr>
        <w:pStyle w:val="aa"/>
      </w:pPr>
      <w:r>
        <w:rPr>
          <w:rFonts w:cs="Arial"/>
        </w:rPr>
        <w:t xml:space="preserve">   </w:t>
      </w:r>
      <w:hyperlink r:id="rId3" w:history="1">
        <w:r w:rsidRPr="002C3F46">
          <w:rPr>
            <w:rStyle w:val="ae"/>
            <w:rFonts w:cs="Arial"/>
          </w:rPr>
          <w:t>http://www.tdrf.org.tw/ch/05knows/kno_07_main.asp?bull_id=3967</w:t>
        </w:r>
      </w:hyperlink>
      <w:r>
        <w:rPr>
          <w:rFonts w:cs="Arial"/>
        </w:rPr>
        <w:t>, visited on 2010/08/31</w:t>
      </w:r>
    </w:p>
  </w:footnote>
  <w:footnote w:id="20">
    <w:p w:rsidR="00DB326D" w:rsidRDefault="00DB326D" w:rsidP="00DB326D">
      <w:pPr>
        <w:pStyle w:val="aa"/>
        <w:ind w:left="200" w:hangingChars="100" w:hanging="200"/>
      </w:pPr>
      <w:r>
        <w:rPr>
          <w:rStyle w:val="ac"/>
        </w:rPr>
        <w:footnoteRef/>
      </w:r>
      <w:r>
        <w:t xml:space="preserve"> </w:t>
      </w:r>
      <w:r w:rsidRPr="00F85C42">
        <w:rPr>
          <w:b/>
        </w:rPr>
        <w:t>Margaret Z .Johns</w:t>
      </w:r>
      <w:r>
        <w:t xml:space="preserve"> , </w:t>
      </w:r>
      <w:r w:rsidRPr="00CE7C20">
        <w:rPr>
          <w:i/>
        </w:rPr>
        <w:t>Informed consent:</w:t>
      </w:r>
      <w:r>
        <w:rPr>
          <w:i/>
        </w:rPr>
        <w:t xml:space="preserve"> </w:t>
      </w:r>
      <w:r w:rsidRPr="00CE7C20">
        <w:rPr>
          <w:i/>
        </w:rPr>
        <w:t>requiring doctors to disclose off-label use prescription and conflicts of interest</w:t>
      </w:r>
      <w:r>
        <w:t xml:space="preserve"> , </w:t>
      </w:r>
      <w:r w:rsidRPr="00F85C42">
        <w:rPr>
          <w:b/>
        </w:rPr>
        <w:t>Hastings Law Journal</w:t>
      </w:r>
      <w:r>
        <w:rPr>
          <w:rFonts w:hint="eastAsia"/>
        </w:rPr>
        <w:t>（</w:t>
      </w:r>
      <w:r>
        <w:t>2007.05</w:t>
      </w:r>
      <w:r>
        <w:rPr>
          <w:rFonts w:hint="eastAsia"/>
        </w:rPr>
        <w:t>）</w:t>
      </w:r>
      <w:r>
        <w:t xml:space="preserve">  </w:t>
      </w:r>
    </w:p>
  </w:footnote>
  <w:footnote w:id="21">
    <w:p w:rsidR="00DB326D" w:rsidRDefault="00DB326D" w:rsidP="00DB326D">
      <w:pPr>
        <w:pStyle w:val="aa"/>
      </w:pPr>
      <w:r>
        <w:rPr>
          <w:rStyle w:val="ac"/>
        </w:rPr>
        <w:footnoteRef/>
      </w:r>
      <w:r>
        <w:t xml:space="preserve"> </w:t>
      </w:r>
      <w:r>
        <w:rPr>
          <w:rFonts w:hint="eastAsia"/>
        </w:rPr>
        <w:t>同註</w:t>
      </w:r>
      <w:r>
        <w:rPr>
          <w:rFonts w:hint="eastAsia"/>
        </w:rPr>
        <w:t>3</w:t>
      </w:r>
    </w:p>
  </w:footnote>
  <w:footnote w:id="22">
    <w:p w:rsidR="00DB326D" w:rsidRDefault="00DB326D" w:rsidP="00DB326D">
      <w:pPr>
        <w:pStyle w:val="aa"/>
      </w:pPr>
      <w:r>
        <w:rPr>
          <w:rStyle w:val="ac"/>
        </w:rPr>
        <w:footnoteRef/>
      </w:r>
      <w:r>
        <w:t xml:space="preserve"> </w:t>
      </w:r>
      <w:r>
        <w:t xml:space="preserve">21 U.S.C. </w:t>
      </w:r>
      <w:r>
        <w:rPr>
          <w:rFonts w:ascii="新細明體" w:hAnsi="新細明體" w:hint="eastAsia"/>
        </w:rPr>
        <w:t>§</w:t>
      </w:r>
      <w:r>
        <w:rPr>
          <w:rFonts w:ascii="新細明體" w:hAnsi="新細明體"/>
        </w:rPr>
        <w:t xml:space="preserve"> 396</w:t>
      </w:r>
      <w:r>
        <w:rPr>
          <w:rFonts w:ascii="新細明體" w:hAnsi="新細明體" w:hint="eastAsia"/>
        </w:rPr>
        <w:t>；</w:t>
      </w:r>
      <w:r>
        <w:rPr>
          <w:rFonts w:ascii="新細明體" w:hAnsi="新細明體"/>
        </w:rPr>
        <w:t xml:space="preserve">FDCA </w:t>
      </w:r>
      <w:r>
        <w:rPr>
          <w:rFonts w:ascii="新細明體" w:hAnsi="新細明體" w:hint="eastAsia"/>
        </w:rPr>
        <w:t>§</w:t>
      </w:r>
      <w:r>
        <w:rPr>
          <w:rFonts w:ascii="新細明體" w:hAnsi="新細明體"/>
        </w:rPr>
        <w:t xml:space="preserve"> 906</w:t>
      </w:r>
    </w:p>
  </w:footnote>
  <w:footnote w:id="23">
    <w:p w:rsidR="00DB326D" w:rsidRPr="00162945" w:rsidRDefault="00DB326D" w:rsidP="00DB326D">
      <w:pPr>
        <w:pStyle w:val="aa"/>
        <w:rPr>
          <w:rFonts w:hint="eastAsia"/>
        </w:rPr>
      </w:pPr>
      <w:r>
        <w:rPr>
          <w:rStyle w:val="ac"/>
        </w:rPr>
        <w:footnoteRef/>
      </w:r>
      <w:r>
        <w:t xml:space="preserve"> </w:t>
      </w:r>
      <w:r>
        <w:rPr>
          <w:rFonts w:hint="eastAsia"/>
        </w:rPr>
        <w:t>同註</w:t>
      </w:r>
      <w:r>
        <w:rPr>
          <w:rFonts w:hint="eastAsia"/>
        </w:rPr>
        <w:t>3</w:t>
      </w:r>
    </w:p>
  </w:footnote>
  <w:footnote w:id="24">
    <w:p w:rsidR="00DB326D" w:rsidRDefault="00DB326D" w:rsidP="00DB326D">
      <w:pPr>
        <w:pStyle w:val="aa"/>
        <w:ind w:left="200" w:hangingChars="100" w:hanging="200"/>
      </w:pPr>
      <w:r>
        <w:rPr>
          <w:rStyle w:val="ac"/>
        </w:rPr>
        <w:footnoteRef/>
      </w:r>
      <w:r>
        <w:t xml:space="preserve"> </w:t>
      </w:r>
      <w:hyperlink r:id="rId4" w:history="1">
        <w:r w:rsidRPr="0022071B">
          <w:rPr>
            <w:kern w:val="0"/>
          </w:rPr>
          <w:t>Abigail Alliance for Better Access to Developmental Drugs v. Von Eschenbach, 495 F.3d 695 (D.C. Cir. 2007)</w:t>
        </w:r>
      </w:hyperlink>
    </w:p>
  </w:footnote>
  <w:footnote w:id="25">
    <w:p w:rsidR="00DB326D" w:rsidRDefault="00DB326D" w:rsidP="00DB326D">
      <w:pPr>
        <w:pStyle w:val="aa"/>
        <w:rPr>
          <w:rFonts w:hint="eastAsia"/>
        </w:rPr>
      </w:pPr>
      <w:r>
        <w:rPr>
          <w:rStyle w:val="ac"/>
        </w:rPr>
        <w:footnoteRef/>
      </w:r>
      <w:r>
        <w:t xml:space="preserve"> </w:t>
      </w:r>
      <w:r>
        <w:rPr>
          <w:rFonts w:hint="eastAsia"/>
        </w:rPr>
        <w:t>同註</w:t>
      </w:r>
      <w:r>
        <w:t>3</w:t>
      </w:r>
      <w:r>
        <w:rPr>
          <w:rFonts w:hint="eastAsia"/>
        </w:rPr>
        <w:t>及註</w:t>
      </w:r>
      <w:r>
        <w:rPr>
          <w:rFonts w:hint="eastAsia"/>
        </w:rPr>
        <w:t>13</w:t>
      </w:r>
    </w:p>
  </w:footnote>
  <w:footnote w:id="26">
    <w:p w:rsidR="00DB326D" w:rsidRDefault="00DB326D" w:rsidP="00DB326D">
      <w:pPr>
        <w:pStyle w:val="aa"/>
      </w:pPr>
      <w:r>
        <w:rPr>
          <w:rStyle w:val="ac"/>
        </w:rPr>
        <w:footnoteRef/>
      </w:r>
      <w:r>
        <w:t xml:space="preserve"> </w:t>
      </w:r>
      <w:r>
        <w:rPr>
          <w:rFonts w:hint="eastAsia"/>
        </w:rPr>
        <w:t>同註</w:t>
      </w:r>
      <w:r>
        <w:rPr>
          <w:rFonts w:hint="eastAsia"/>
        </w:rPr>
        <w:t>18</w:t>
      </w:r>
    </w:p>
  </w:footnote>
  <w:footnote w:id="27">
    <w:p w:rsidR="00DB326D" w:rsidRDefault="00DB326D" w:rsidP="00DB326D">
      <w:pPr>
        <w:spacing w:line="240" w:lineRule="exact"/>
        <w:rPr>
          <w:i/>
          <w:sz w:val="20"/>
        </w:rPr>
      </w:pPr>
      <w:r>
        <w:rPr>
          <w:rStyle w:val="ac"/>
        </w:rPr>
        <w:footnoteRef/>
      </w:r>
      <w:r w:rsidRPr="00511E48">
        <w:rPr>
          <w:sz w:val="20"/>
        </w:rPr>
        <w:t xml:space="preserve"> </w:t>
      </w:r>
      <w:proofErr w:type="gramStart"/>
      <w:r w:rsidRPr="00533A31">
        <w:rPr>
          <w:b/>
          <w:sz w:val="20"/>
        </w:rPr>
        <w:t>Edward P. Lansdale</w:t>
      </w:r>
      <w:r w:rsidRPr="00511E48">
        <w:rPr>
          <w:sz w:val="20"/>
        </w:rPr>
        <w:t xml:space="preserve">, </w:t>
      </w:r>
      <w:r w:rsidRPr="00511E48">
        <w:rPr>
          <w:i/>
          <w:sz w:val="20"/>
        </w:rPr>
        <w:t>USED AS DIRECTED?</w:t>
      </w:r>
      <w:proofErr w:type="gramEnd"/>
      <w:r w:rsidRPr="00511E48">
        <w:rPr>
          <w:i/>
          <w:sz w:val="20"/>
        </w:rPr>
        <w:t xml:space="preserve"> HOW PROSECUTORS ARE EXPANDING THE </w:t>
      </w:r>
    </w:p>
    <w:p w:rsidR="00DB326D" w:rsidRPr="00533A31" w:rsidRDefault="00DB326D" w:rsidP="00DB326D">
      <w:pPr>
        <w:spacing w:line="240" w:lineRule="exact"/>
        <w:ind w:firstLineChars="100" w:firstLine="200"/>
        <w:rPr>
          <w:b/>
          <w:sz w:val="20"/>
        </w:rPr>
      </w:pPr>
      <w:r w:rsidRPr="00511E48">
        <w:rPr>
          <w:i/>
          <w:sz w:val="20"/>
        </w:rPr>
        <w:t>FALSE CLAIMS ACT TO POLICE PHARMACEUTICAL OFF-LABEL MARKETING</w:t>
      </w:r>
      <w:r>
        <w:rPr>
          <w:i/>
          <w:sz w:val="20"/>
        </w:rPr>
        <w:t>,</w:t>
      </w:r>
      <w:r w:rsidRPr="002B5955">
        <w:rPr>
          <w:sz w:val="20"/>
        </w:rPr>
        <w:t xml:space="preserve"> </w:t>
      </w:r>
      <w:r w:rsidRPr="00533A31">
        <w:rPr>
          <w:b/>
          <w:sz w:val="20"/>
        </w:rPr>
        <w:t>41New</w:t>
      </w:r>
    </w:p>
    <w:p w:rsidR="00DB326D" w:rsidRDefault="00DB326D" w:rsidP="00DB326D">
      <w:pPr>
        <w:spacing w:line="240" w:lineRule="exact"/>
        <w:ind w:firstLineChars="100" w:firstLine="200"/>
      </w:pPr>
      <w:r w:rsidRPr="00533A31">
        <w:rPr>
          <w:b/>
          <w:sz w:val="20"/>
        </w:rPr>
        <w:t xml:space="preserve"> England Law Review</w:t>
      </w:r>
      <w:r w:rsidRPr="002B5955">
        <w:rPr>
          <w:sz w:val="20"/>
        </w:rPr>
        <w:t>,  p161</w:t>
      </w:r>
      <w:r w:rsidRPr="002B5955">
        <w:rPr>
          <w:rFonts w:hint="eastAsia"/>
          <w:sz w:val="20"/>
        </w:rPr>
        <w:t>（</w:t>
      </w:r>
      <w:r w:rsidRPr="002B5955">
        <w:rPr>
          <w:sz w:val="20"/>
        </w:rPr>
        <w:t>2006 Fall</w:t>
      </w:r>
      <w:r w:rsidRPr="002B5955">
        <w:rPr>
          <w:rFonts w:hint="eastAsia"/>
          <w:sz w:val="20"/>
        </w:rPr>
        <w:t>）</w:t>
      </w:r>
    </w:p>
  </w:footnote>
  <w:footnote w:id="28">
    <w:p w:rsidR="00DB326D" w:rsidRDefault="00DB326D" w:rsidP="00DB326D">
      <w:pPr>
        <w:spacing w:line="240" w:lineRule="exact"/>
        <w:ind w:left="240" w:hangingChars="100" w:hanging="240"/>
      </w:pPr>
      <w:r>
        <w:rPr>
          <w:rStyle w:val="ac"/>
        </w:rPr>
        <w:footnoteRef/>
      </w:r>
      <w:r>
        <w:t xml:space="preserve"> </w:t>
      </w:r>
      <w:r w:rsidRPr="00533A31">
        <w:rPr>
          <w:b/>
          <w:sz w:val="20"/>
          <w:szCs w:val="20"/>
          <w:lang w:eastAsia="ja-JP"/>
        </w:rPr>
        <w:t>John E. Osborn</w:t>
      </w:r>
      <w:r w:rsidRPr="004D6384">
        <w:rPr>
          <w:sz w:val="20"/>
          <w:szCs w:val="20"/>
          <w:lang w:eastAsia="ja-JP"/>
        </w:rPr>
        <w:t xml:space="preserve">, </w:t>
      </w:r>
      <w:r w:rsidRPr="004D6384">
        <w:rPr>
          <w:i/>
          <w:sz w:val="20"/>
          <w:szCs w:val="20"/>
          <w:lang w:eastAsia="ja-JP"/>
        </w:rPr>
        <w:t xml:space="preserve">Can I tell you the truth? </w:t>
      </w:r>
      <w:r w:rsidRPr="004D6384">
        <w:rPr>
          <w:i/>
          <w:sz w:val="20"/>
          <w:szCs w:val="20"/>
          <w:lang w:eastAsia="ja-JP"/>
        </w:rPr>
        <w:t>A comparative perspective on regulating off-label scientific and medical information</w:t>
      </w:r>
      <w:r w:rsidRPr="004D6384">
        <w:rPr>
          <w:sz w:val="20"/>
          <w:szCs w:val="20"/>
          <w:lang w:eastAsia="ja-JP"/>
        </w:rPr>
        <w:t xml:space="preserve">, </w:t>
      </w:r>
      <w:r w:rsidRPr="00533A31">
        <w:rPr>
          <w:b/>
          <w:sz w:val="20"/>
          <w:szCs w:val="20"/>
          <w:lang w:eastAsia="ja-JP"/>
        </w:rPr>
        <w:t>Yale Journal of Health Policy, Law &amp; Ethics</w:t>
      </w:r>
      <w:r w:rsidRPr="004D6384">
        <w:rPr>
          <w:rFonts w:hint="eastAsia"/>
          <w:sz w:val="20"/>
          <w:szCs w:val="20"/>
        </w:rPr>
        <w:t>（</w:t>
      </w:r>
      <w:r w:rsidRPr="004D6384">
        <w:rPr>
          <w:sz w:val="20"/>
          <w:szCs w:val="20"/>
          <w:lang w:eastAsia="ja-JP"/>
        </w:rPr>
        <w:t>2010 Summer</w:t>
      </w:r>
      <w:r w:rsidRPr="004D6384">
        <w:rPr>
          <w:rFonts w:hint="eastAsia"/>
          <w:sz w:val="20"/>
          <w:szCs w:val="20"/>
        </w:rPr>
        <w:t>）</w:t>
      </w:r>
    </w:p>
  </w:footnote>
  <w:footnote w:id="29">
    <w:p w:rsidR="00DB326D" w:rsidRDefault="00DB326D" w:rsidP="00DB326D">
      <w:pPr>
        <w:pStyle w:val="aa"/>
      </w:pPr>
      <w:r>
        <w:rPr>
          <w:rStyle w:val="ac"/>
        </w:rPr>
        <w:footnoteRef/>
      </w:r>
      <w:r>
        <w:t xml:space="preserve"> Central Hudson Gas v. Public Service Commission, 447 U.S. 557</w:t>
      </w:r>
      <w:r>
        <w:rPr>
          <w:rFonts w:hint="eastAsia"/>
        </w:rPr>
        <w:t>（</w:t>
      </w:r>
      <w:r>
        <w:t>1980</w:t>
      </w:r>
      <w:r>
        <w:rPr>
          <w:rFonts w:hint="eastAsia"/>
        </w:rPr>
        <w:t>）</w:t>
      </w:r>
    </w:p>
  </w:footnote>
  <w:footnote w:id="30">
    <w:p w:rsidR="00DB326D" w:rsidRDefault="00DB326D" w:rsidP="00DB326D">
      <w:pPr>
        <w:pStyle w:val="aa"/>
      </w:pPr>
      <w:r>
        <w:rPr>
          <w:rStyle w:val="ac"/>
        </w:rPr>
        <w:footnoteRef/>
      </w:r>
      <w:r>
        <w:t xml:space="preserve"> </w:t>
      </w:r>
      <w:r w:rsidRPr="00957B4A">
        <w:t xml:space="preserve">WLF </w:t>
      </w:r>
      <w:r>
        <w:rPr>
          <w:rFonts w:hint="eastAsia"/>
        </w:rPr>
        <w:t>v</w:t>
      </w:r>
      <w:r w:rsidRPr="00957B4A">
        <w:t>. Friedman</w:t>
      </w:r>
      <w:r>
        <w:t xml:space="preserve"> ,</w:t>
      </w:r>
      <w:r w:rsidRPr="00CE4B14">
        <w:rPr>
          <w:rFonts w:ascii="Arial" w:hAnsi="Arial" w:cs="Arial"/>
          <w:color w:val="000000"/>
        </w:rPr>
        <w:t xml:space="preserve"> </w:t>
      </w:r>
      <w:r>
        <w:rPr>
          <w:rFonts w:ascii="Arial" w:hAnsi="Arial" w:cs="Arial"/>
          <w:color w:val="000000"/>
        </w:rPr>
        <w:t>13 F. Supp. 2d 51 (D.D.C. 1998)</w:t>
      </w:r>
    </w:p>
  </w:footnote>
  <w:footnote w:id="31">
    <w:p w:rsidR="00DB326D" w:rsidRDefault="00DB326D" w:rsidP="00DB326D">
      <w:pPr>
        <w:pStyle w:val="aa"/>
      </w:pPr>
      <w:r>
        <w:rPr>
          <w:rStyle w:val="ac"/>
        </w:rPr>
        <w:footnoteRef/>
      </w:r>
      <w:r>
        <w:t xml:space="preserve"> WLF </w:t>
      </w:r>
      <w:r>
        <w:rPr>
          <w:rFonts w:hint="eastAsia"/>
        </w:rPr>
        <w:t>v</w:t>
      </w:r>
      <w:r>
        <w:t xml:space="preserve">. </w:t>
      </w:r>
      <w:proofErr w:type="spellStart"/>
      <w:proofErr w:type="gramStart"/>
      <w:r>
        <w:t>Henney</w:t>
      </w:r>
      <w:proofErr w:type="spellEnd"/>
      <w:r>
        <w:t xml:space="preserve"> ,</w:t>
      </w:r>
      <w:proofErr w:type="gramEnd"/>
      <w:r>
        <w:t xml:space="preserve"> 202</w:t>
      </w:r>
      <w:r>
        <w:rPr>
          <w:rFonts w:ascii="Arial" w:hAnsi="Arial" w:cs="Arial"/>
          <w:color w:val="000000"/>
        </w:rPr>
        <w:t>F. 3d 331,332 (</w:t>
      </w:r>
      <w:proofErr w:type="spellStart"/>
      <w:r>
        <w:rPr>
          <w:rFonts w:ascii="Arial" w:hAnsi="Arial" w:cs="Arial"/>
          <w:color w:val="000000"/>
        </w:rPr>
        <w:t>D.D.Cir</w:t>
      </w:r>
      <w:proofErr w:type="spellEnd"/>
      <w:r>
        <w:rPr>
          <w:rFonts w:ascii="Arial" w:hAnsi="Arial" w:cs="Arial"/>
          <w:color w:val="000000"/>
        </w:rPr>
        <w:t>. 2000)</w:t>
      </w:r>
    </w:p>
  </w:footnote>
  <w:footnote w:id="32">
    <w:p w:rsidR="00DB326D" w:rsidRDefault="00DB326D" w:rsidP="00DB326D">
      <w:r>
        <w:rPr>
          <w:rStyle w:val="ac"/>
        </w:rPr>
        <w:footnoteRef/>
      </w:r>
      <w:r w:rsidRPr="009B1D26">
        <w:rPr>
          <w:sz w:val="20"/>
        </w:rPr>
        <w:t xml:space="preserve"> </w:t>
      </w:r>
      <w:r>
        <w:rPr>
          <w:rFonts w:hint="eastAsia"/>
          <w:sz w:val="20"/>
        </w:rPr>
        <w:t>同註</w:t>
      </w:r>
      <w:r>
        <w:rPr>
          <w:sz w:val="20"/>
        </w:rPr>
        <w:t>3</w:t>
      </w:r>
    </w:p>
  </w:footnote>
  <w:footnote w:id="33">
    <w:p w:rsidR="00DB326D" w:rsidRPr="006B3A16" w:rsidRDefault="00DB326D" w:rsidP="00DB326D">
      <w:pPr>
        <w:pStyle w:val="aa"/>
        <w:rPr>
          <w:i/>
        </w:rPr>
      </w:pPr>
      <w:r>
        <w:rPr>
          <w:rStyle w:val="ac"/>
        </w:rPr>
        <w:footnoteRef/>
      </w:r>
      <w:r>
        <w:t xml:space="preserve"> </w:t>
      </w:r>
      <w:r w:rsidRPr="00533A31">
        <w:rPr>
          <w:b/>
        </w:rPr>
        <w:t xml:space="preserve">Richard C. </w:t>
      </w:r>
      <w:proofErr w:type="spellStart"/>
      <w:r w:rsidRPr="00533A31">
        <w:rPr>
          <w:b/>
        </w:rPr>
        <w:t>Ausnes</w:t>
      </w:r>
      <w:r w:rsidRPr="006B3A16">
        <w:t>s</w:t>
      </w:r>
      <w:proofErr w:type="spellEnd"/>
      <w:r w:rsidRPr="006B3A16">
        <w:t xml:space="preserve">, </w:t>
      </w:r>
      <w:r w:rsidRPr="006B3A16">
        <w:rPr>
          <w:i/>
        </w:rPr>
        <w:t xml:space="preserve">Will More Aggressive Marketing Practices Lead to Greater Tort Liability for </w:t>
      </w:r>
    </w:p>
    <w:p w:rsidR="00DB326D" w:rsidRDefault="00DB326D" w:rsidP="00DB326D">
      <w:pPr>
        <w:pStyle w:val="aa"/>
        <w:ind w:firstLineChars="100" w:firstLine="200"/>
      </w:pPr>
      <w:r w:rsidRPr="006B3A16">
        <w:rPr>
          <w:i/>
        </w:rPr>
        <w:t>Prescription Drug Manufacturers?</w:t>
      </w:r>
      <w:r w:rsidRPr="006B3A16">
        <w:t>, 3</w:t>
      </w:r>
      <w:r w:rsidRPr="00533A31">
        <w:rPr>
          <w:b/>
        </w:rPr>
        <w:t>7 WAKE FOREST L. REV. 97</w:t>
      </w:r>
      <w:r w:rsidRPr="006B3A16">
        <w:t>, 106-</w:t>
      </w:r>
      <w:r>
        <w:rPr>
          <w:rFonts w:eastAsia="MS Mincho"/>
          <w:lang w:eastAsia="ja-JP"/>
        </w:rPr>
        <w:t>1</w:t>
      </w:r>
      <w:r w:rsidRPr="006B3A16">
        <w:t>07 (2002); Restatement</w:t>
      </w:r>
      <w:r w:rsidRPr="006B3A16">
        <w:rPr>
          <w:rFonts w:hint="eastAsia"/>
        </w:rPr>
        <w:t>（</w:t>
      </w:r>
      <w:r w:rsidRPr="006B3A16">
        <w:t>Third</w:t>
      </w:r>
      <w:r w:rsidRPr="006B3A16">
        <w:rPr>
          <w:rFonts w:hint="eastAsia"/>
        </w:rPr>
        <w:t>）</w:t>
      </w:r>
      <w:r w:rsidRPr="006B3A16">
        <w:t>of torts: Products Liability § 6,cmt.e</w:t>
      </w:r>
      <w:r w:rsidRPr="006B3A16">
        <w:rPr>
          <w:rFonts w:hint="eastAsia"/>
        </w:rPr>
        <w:t>（</w:t>
      </w:r>
      <w:r w:rsidRPr="006B3A16">
        <w:t>1998</w:t>
      </w:r>
      <w:r w:rsidRPr="006B3A16">
        <w:rPr>
          <w:rFonts w:hint="eastAsia"/>
        </w:rPr>
        <w:t>）</w:t>
      </w:r>
    </w:p>
  </w:footnote>
  <w:footnote w:id="34">
    <w:p w:rsidR="00DB326D" w:rsidRDefault="00DB326D" w:rsidP="00DB326D">
      <w:pPr>
        <w:pStyle w:val="aa"/>
        <w:ind w:left="300" w:hangingChars="150" w:hanging="300"/>
        <w:rPr>
          <w:rFonts w:hint="eastAsia"/>
        </w:rPr>
      </w:pPr>
      <w:r>
        <w:rPr>
          <w:rStyle w:val="ac"/>
        </w:rPr>
        <w:footnoteRef/>
      </w:r>
      <w:r>
        <w:t xml:space="preserve"> </w:t>
      </w:r>
      <w:r>
        <w:rPr>
          <w:rFonts w:hint="eastAsia"/>
        </w:rPr>
        <w:t>同註</w:t>
      </w:r>
      <w:r>
        <w:rPr>
          <w:rFonts w:hint="eastAsia"/>
        </w:rPr>
        <w:t>15</w:t>
      </w:r>
    </w:p>
  </w:footnote>
  <w:footnote w:id="35">
    <w:p w:rsidR="00DB326D" w:rsidRPr="00401FA0" w:rsidRDefault="00DB326D" w:rsidP="00DB326D">
      <w:pPr>
        <w:pStyle w:val="aa"/>
        <w:rPr>
          <w:i/>
        </w:rPr>
      </w:pPr>
      <w:r>
        <w:rPr>
          <w:rStyle w:val="ac"/>
        </w:rPr>
        <w:footnoteRef/>
      </w:r>
      <w:r>
        <w:t xml:space="preserve"> </w:t>
      </w:r>
      <w:r w:rsidRPr="00C9313B">
        <w:rPr>
          <w:b/>
        </w:rPr>
        <w:t>Teresa Moran. Schwartz</w:t>
      </w:r>
      <w:r w:rsidRPr="00401FA0">
        <w:t xml:space="preserve">, </w:t>
      </w:r>
      <w:r w:rsidRPr="00401FA0">
        <w:rPr>
          <w:i/>
        </w:rPr>
        <w:t xml:space="preserve">Consumer-Directed Prescription Drug Advertising and the Learned </w:t>
      </w:r>
    </w:p>
    <w:p w:rsidR="00DB326D" w:rsidRDefault="00DB326D" w:rsidP="00DB326D">
      <w:pPr>
        <w:pStyle w:val="aa"/>
        <w:ind w:firstLineChars="150" w:firstLine="300"/>
      </w:pPr>
      <w:r w:rsidRPr="00401FA0">
        <w:rPr>
          <w:i/>
        </w:rPr>
        <w:t>Intermediary Rule</w:t>
      </w:r>
      <w:r w:rsidRPr="00401FA0">
        <w:t xml:space="preserve">, </w:t>
      </w:r>
      <w:r w:rsidRPr="00C9313B">
        <w:rPr>
          <w:b/>
        </w:rPr>
        <w:t>Food Drug Cosmetic Law Journal</w:t>
      </w:r>
      <w:r>
        <w:t>, p829</w:t>
      </w:r>
      <w:r>
        <w:rPr>
          <w:rFonts w:hint="eastAsia"/>
        </w:rPr>
        <w:t>、</w:t>
      </w:r>
      <w:r>
        <w:t>830</w:t>
      </w:r>
      <w:r w:rsidRPr="00401FA0">
        <w:t xml:space="preserve"> (1991</w:t>
      </w:r>
      <w:r>
        <w:t>.11</w:t>
      </w:r>
      <w:r w:rsidRPr="00401FA0">
        <w:t>).</w:t>
      </w:r>
    </w:p>
  </w:footnote>
  <w:footnote w:id="36">
    <w:p w:rsidR="00DB326D" w:rsidRDefault="00DB326D" w:rsidP="00DB326D">
      <w:pPr>
        <w:pStyle w:val="aa"/>
        <w:ind w:left="200" w:hangingChars="100" w:hanging="200"/>
      </w:pPr>
      <w:r>
        <w:rPr>
          <w:rStyle w:val="ac"/>
        </w:rPr>
        <w:footnoteRef/>
      </w:r>
      <w:r>
        <w:rPr>
          <w:rFonts w:ascii="新細明體" w:hAnsi="新細明體" w:cs="Arial"/>
        </w:rPr>
        <w:t xml:space="preserve"> </w:t>
      </w:r>
      <w:r w:rsidRPr="00355CF9">
        <w:rPr>
          <w:rFonts w:ascii="新細明體" w:hAnsi="新細明體" w:cs="Arial" w:hint="eastAsia"/>
        </w:rPr>
        <w:t>陳汝吟著</w:t>
      </w:r>
      <w:r>
        <w:rPr>
          <w:rFonts w:ascii="新細明體" w:hAnsi="新細明體" w:cs="Arial" w:hint="eastAsia"/>
        </w:rPr>
        <w:t>，〈</w:t>
      </w:r>
      <w:r w:rsidRPr="00355CF9">
        <w:rPr>
          <w:rFonts w:ascii="新細明體" w:hAnsi="新細明體" w:cs="Arial" w:hint="eastAsia"/>
        </w:rPr>
        <w:t>論網路</w:t>
      </w:r>
      <w:r w:rsidRPr="00355CF9">
        <w:rPr>
          <w:rFonts w:ascii="新細明體" w:hAnsi="新細明體" w:cs="Arial"/>
        </w:rPr>
        <w:t>DTC</w:t>
      </w:r>
      <w:r w:rsidRPr="00355CF9">
        <w:rPr>
          <w:rFonts w:ascii="新細明體" w:hAnsi="新細明體" w:cs="Arial" w:hint="eastAsia"/>
        </w:rPr>
        <w:t>廣告之法律規範－以藥物</w:t>
      </w:r>
      <w:r w:rsidRPr="00355CF9">
        <w:rPr>
          <w:rFonts w:ascii="新細明體" w:hAnsi="新細明體" w:cs="Arial"/>
        </w:rPr>
        <w:t>DTC</w:t>
      </w:r>
      <w:r w:rsidRPr="00355CF9">
        <w:rPr>
          <w:rFonts w:ascii="新細明體" w:hAnsi="新細明體" w:cs="Arial" w:hint="eastAsia"/>
        </w:rPr>
        <w:t>廣告對隱私權及產品責任影響為例</w:t>
      </w:r>
      <w:r>
        <w:rPr>
          <w:rFonts w:ascii="新細明體" w:hAnsi="新細明體" w:cs="Arial" w:hint="eastAsia"/>
        </w:rPr>
        <w:t>〉</w:t>
      </w:r>
      <w:r w:rsidRPr="00355CF9">
        <w:rPr>
          <w:rFonts w:ascii="新細明體" w:hAnsi="新細明體" w:cs="Arial" w:hint="eastAsia"/>
        </w:rPr>
        <w:t>，</w:t>
      </w:r>
      <w:r>
        <w:rPr>
          <w:rFonts w:ascii="新細明體" w:hAnsi="新細明體" w:cs="Arial" w:hint="eastAsia"/>
        </w:rPr>
        <w:t>《</w:t>
      </w:r>
      <w:r w:rsidRPr="00355CF9">
        <w:rPr>
          <w:rFonts w:ascii="新細明體" w:hAnsi="新細明體" w:cs="Arial" w:hint="eastAsia"/>
        </w:rPr>
        <w:t>玄奘法律學報</w:t>
      </w:r>
      <w:r>
        <w:rPr>
          <w:rFonts w:ascii="新細明體" w:hAnsi="新細明體" w:cs="Arial" w:hint="eastAsia"/>
        </w:rPr>
        <w:t>》</w:t>
      </w:r>
      <w:r w:rsidRPr="00355CF9">
        <w:rPr>
          <w:rFonts w:ascii="新細明體" w:hAnsi="新細明體" w:cs="Arial" w:hint="eastAsia"/>
        </w:rPr>
        <w:t>第二期，</w:t>
      </w:r>
      <w:r>
        <w:rPr>
          <w:rFonts w:ascii="新細明體" w:hAnsi="新細明體" w:cs="Arial"/>
        </w:rPr>
        <w:t>2004</w:t>
      </w:r>
      <w:r w:rsidRPr="00355CF9">
        <w:rPr>
          <w:rFonts w:ascii="新細明體" w:hAnsi="新細明體" w:cs="Arial" w:hint="eastAsia"/>
        </w:rPr>
        <w:t>年</w:t>
      </w:r>
      <w:r>
        <w:rPr>
          <w:rFonts w:ascii="新細明體" w:hAnsi="新細明體" w:cs="Arial"/>
        </w:rPr>
        <w:t>12</w:t>
      </w:r>
      <w:r w:rsidRPr="00355CF9">
        <w:rPr>
          <w:rFonts w:ascii="新細明體" w:hAnsi="新細明體" w:cs="Arial" w:hint="eastAsia"/>
        </w:rPr>
        <w:t>月</w:t>
      </w:r>
      <w:r>
        <w:rPr>
          <w:rFonts w:ascii="新細明體" w:hAnsi="新細明體" w:cs="Arial" w:hint="eastAsia"/>
        </w:rPr>
        <w:t>，頁</w:t>
      </w:r>
      <w:r>
        <w:rPr>
          <w:rFonts w:ascii="新細明體" w:hAnsi="新細明體" w:cs="Arial"/>
        </w:rPr>
        <w:t>22-23</w:t>
      </w:r>
    </w:p>
  </w:footnote>
  <w:footnote w:id="37">
    <w:p w:rsidR="00DB326D" w:rsidRDefault="00DB326D" w:rsidP="00DB326D">
      <w:pPr>
        <w:pStyle w:val="aa"/>
      </w:pPr>
      <w:r>
        <w:rPr>
          <w:rStyle w:val="ac"/>
        </w:rPr>
        <w:footnoteRef/>
      </w:r>
      <w:r w:rsidRPr="00C52415">
        <w:t xml:space="preserve"> Thomas v. Hoffmann-</w:t>
      </w:r>
      <w:proofErr w:type="spellStart"/>
      <w:r w:rsidRPr="00C52415">
        <w:t>LaRoche</w:t>
      </w:r>
      <w:proofErr w:type="spellEnd"/>
      <w:r w:rsidRPr="00C52415">
        <w:t>, Inc., 731 F. Supp. 244</w:t>
      </w:r>
      <w:r w:rsidRPr="00C52415">
        <w:rPr>
          <w:rFonts w:hint="eastAsia"/>
        </w:rPr>
        <w:t>（</w:t>
      </w:r>
      <w:r w:rsidRPr="00C52415">
        <w:t>N.D. Miss .1989</w:t>
      </w:r>
      <w:r w:rsidRPr="00C52415">
        <w:rPr>
          <w:rFonts w:hint="eastAsia"/>
        </w:rPr>
        <w:t>）</w:t>
      </w:r>
    </w:p>
  </w:footnote>
  <w:footnote w:id="38">
    <w:p w:rsidR="00DB326D" w:rsidRDefault="00DB326D" w:rsidP="00DB326D">
      <w:pPr>
        <w:pStyle w:val="aa"/>
      </w:pPr>
      <w:r>
        <w:rPr>
          <w:rStyle w:val="ac"/>
        </w:rPr>
        <w:footnoteRef/>
      </w:r>
      <w:r>
        <w:t xml:space="preserve"> Canterbury v. Spence, 150 U.S. App. D.C. 263, 464 F.2d 772</w:t>
      </w:r>
      <w:r>
        <w:rPr>
          <w:rFonts w:hint="eastAsia"/>
        </w:rPr>
        <w:t>（</w:t>
      </w:r>
      <w:r>
        <w:t>D.C. Cir</w:t>
      </w:r>
      <w:r>
        <w:rPr>
          <w:rFonts w:hint="eastAsia"/>
        </w:rPr>
        <w:t>）</w:t>
      </w:r>
    </w:p>
  </w:footnote>
  <w:footnote w:id="39">
    <w:p w:rsidR="00DB326D" w:rsidRDefault="00DB326D" w:rsidP="00DB326D">
      <w:pPr>
        <w:pStyle w:val="aa"/>
      </w:pPr>
      <w:r>
        <w:rPr>
          <w:rStyle w:val="ac"/>
        </w:rPr>
        <w:footnoteRef/>
      </w:r>
      <w:r>
        <w:t xml:space="preserve"> </w:t>
      </w:r>
      <w:r w:rsidRPr="0041376D">
        <w:rPr>
          <w:b/>
        </w:rPr>
        <w:t xml:space="preserve">Peter H. </w:t>
      </w:r>
      <w:proofErr w:type="spellStart"/>
      <w:r w:rsidRPr="0041376D">
        <w:rPr>
          <w:b/>
        </w:rPr>
        <w:t>Schuck</w:t>
      </w:r>
      <w:proofErr w:type="spellEnd"/>
      <w:r w:rsidRPr="006B3A16">
        <w:t xml:space="preserve">, </w:t>
      </w:r>
      <w:r w:rsidRPr="006B3A16">
        <w:rPr>
          <w:i/>
        </w:rPr>
        <w:t>Rethinking Informed Consent</w:t>
      </w:r>
      <w:r w:rsidRPr="006B3A16">
        <w:t xml:space="preserve">, </w:t>
      </w:r>
      <w:r w:rsidRPr="0041376D">
        <w:rPr>
          <w:b/>
        </w:rPr>
        <w:t>103 YALE L.J</w:t>
      </w:r>
      <w:r>
        <w:t>, p</w:t>
      </w:r>
      <w:r w:rsidRPr="006B3A16">
        <w:t>899 (1994</w:t>
      </w:r>
      <w:r>
        <w:t>)</w:t>
      </w:r>
    </w:p>
  </w:footnote>
  <w:footnote w:id="40">
    <w:p w:rsidR="00DB326D" w:rsidRDefault="00DB326D" w:rsidP="00DB326D">
      <w:pPr>
        <w:pStyle w:val="aa"/>
      </w:pPr>
      <w:r>
        <w:rPr>
          <w:rStyle w:val="ac"/>
        </w:rPr>
        <w:footnoteRef/>
      </w:r>
      <w:r>
        <w:t xml:space="preserve"> Davis v. Wyeth laboratories, 399 F.2d 121</w:t>
      </w:r>
      <w:r>
        <w:rPr>
          <w:rFonts w:hint="eastAsia"/>
        </w:rPr>
        <w:t>（</w:t>
      </w:r>
      <w:r>
        <w:t>9th Cir. 1968</w:t>
      </w:r>
      <w:r>
        <w:rPr>
          <w:rFonts w:hint="eastAsia"/>
        </w:rPr>
        <w:t>）</w:t>
      </w:r>
    </w:p>
  </w:footnote>
  <w:footnote w:id="41">
    <w:p w:rsidR="00DB326D" w:rsidRDefault="00DB326D" w:rsidP="00DB326D">
      <w:pPr>
        <w:spacing w:line="240" w:lineRule="exact"/>
        <w:ind w:left="240" w:hangingChars="100" w:hanging="240"/>
      </w:pPr>
      <w:r>
        <w:rPr>
          <w:rStyle w:val="ac"/>
        </w:rPr>
        <w:footnoteRef/>
      </w:r>
      <w:r>
        <w:t xml:space="preserve"> </w:t>
      </w:r>
      <w:r w:rsidRPr="0041376D">
        <w:rPr>
          <w:b/>
          <w:sz w:val="20"/>
          <w:szCs w:val="20"/>
        </w:rPr>
        <w:t>Daniel W. Whitney</w:t>
      </w:r>
      <w:r w:rsidRPr="00BE5A66">
        <w:rPr>
          <w:sz w:val="20"/>
          <w:szCs w:val="20"/>
        </w:rPr>
        <w:t xml:space="preserve">, </w:t>
      </w:r>
      <w:r w:rsidRPr="00BE5A66">
        <w:rPr>
          <w:i/>
          <w:sz w:val="20"/>
          <w:szCs w:val="20"/>
        </w:rPr>
        <w:t>GUIDE TO PREEMPTION OF STATE-LAW CLAIMS AGAINST CLASS III PMA MEDICAL DEVICES</w:t>
      </w:r>
      <w:r w:rsidRPr="00BE5A66">
        <w:rPr>
          <w:sz w:val="20"/>
          <w:szCs w:val="20"/>
        </w:rPr>
        <w:t xml:space="preserve">, </w:t>
      </w:r>
      <w:r w:rsidRPr="0041376D">
        <w:rPr>
          <w:b/>
          <w:sz w:val="20"/>
          <w:szCs w:val="20"/>
        </w:rPr>
        <w:t>Food and Drug Law Journal</w:t>
      </w:r>
      <w:r w:rsidRPr="00BE5A66">
        <w:rPr>
          <w:sz w:val="20"/>
          <w:szCs w:val="20"/>
        </w:rPr>
        <w:t xml:space="preserve">, </w:t>
      </w:r>
      <w:r>
        <w:rPr>
          <w:sz w:val="20"/>
          <w:szCs w:val="20"/>
        </w:rPr>
        <w:t>p</w:t>
      </w:r>
      <w:r w:rsidRPr="00BE5A66">
        <w:rPr>
          <w:sz w:val="20"/>
          <w:szCs w:val="20"/>
        </w:rPr>
        <w:t>113</w:t>
      </w:r>
      <w:r w:rsidRPr="00BE5A66">
        <w:rPr>
          <w:rFonts w:hint="eastAsia"/>
          <w:sz w:val="20"/>
          <w:szCs w:val="20"/>
        </w:rPr>
        <w:t>（</w:t>
      </w:r>
      <w:r w:rsidRPr="00BE5A66">
        <w:rPr>
          <w:sz w:val="20"/>
          <w:szCs w:val="20"/>
        </w:rPr>
        <w:t>2010</w:t>
      </w:r>
      <w:r w:rsidRPr="00BE5A66">
        <w:rPr>
          <w:rFonts w:hint="eastAsia"/>
          <w:sz w:val="20"/>
          <w:szCs w:val="20"/>
        </w:rPr>
        <w:t>）</w:t>
      </w:r>
      <w:r w:rsidRPr="00BE5A66">
        <w:rPr>
          <w:sz w:val="20"/>
          <w:szCs w:val="20"/>
        </w:rPr>
        <w:t xml:space="preserve"> </w:t>
      </w:r>
    </w:p>
  </w:footnote>
  <w:footnote w:id="42">
    <w:p w:rsidR="00DB326D" w:rsidRDefault="00DB326D" w:rsidP="00DB326D">
      <w:pPr>
        <w:pStyle w:val="aa"/>
      </w:pPr>
      <w:r>
        <w:rPr>
          <w:rStyle w:val="ac"/>
        </w:rPr>
        <w:footnoteRef/>
      </w:r>
      <w:r>
        <w:t xml:space="preserve"> </w:t>
      </w:r>
      <w:proofErr w:type="gramStart"/>
      <w:r w:rsidRPr="003315D6">
        <w:t>Wyeth v. Levine, 129 S. Ct. 1187, 1195 (2009).</w:t>
      </w:r>
      <w:proofErr w:type="gramEnd"/>
    </w:p>
  </w:footnote>
  <w:footnote w:id="43">
    <w:p w:rsidR="00DB326D" w:rsidRDefault="00DB326D" w:rsidP="00DB326D">
      <w:pPr>
        <w:pStyle w:val="aa"/>
        <w:ind w:left="200" w:hangingChars="100" w:hanging="200"/>
      </w:pPr>
      <w:r>
        <w:rPr>
          <w:rStyle w:val="ac"/>
        </w:rPr>
        <w:footnoteRef/>
      </w:r>
      <w:r>
        <w:t xml:space="preserve"> </w:t>
      </w:r>
      <w:r w:rsidRPr="0041376D">
        <w:rPr>
          <w:b/>
        </w:rPr>
        <w:t xml:space="preserve">Andrea </w:t>
      </w:r>
      <w:proofErr w:type="spellStart"/>
      <w:r w:rsidRPr="0041376D">
        <w:rPr>
          <w:b/>
        </w:rPr>
        <w:t>Ahn</w:t>
      </w:r>
      <w:proofErr w:type="spellEnd"/>
      <w:r>
        <w:t xml:space="preserve">, </w:t>
      </w:r>
      <w:r w:rsidRPr="00821184">
        <w:rPr>
          <w:i/>
        </w:rPr>
        <w:t>WYETH v. LEVINE: MOVING AWAY FROM THE GEIER TREND</w:t>
      </w:r>
      <w:r>
        <w:t xml:space="preserve">, </w:t>
      </w:r>
      <w:r w:rsidRPr="0041376D">
        <w:rPr>
          <w:b/>
        </w:rPr>
        <w:t>Denver University Law Review</w:t>
      </w:r>
      <w:r>
        <w:t>, p571</w:t>
      </w:r>
      <w:r>
        <w:rPr>
          <w:rFonts w:hint="eastAsia"/>
        </w:rPr>
        <w:t>（</w:t>
      </w:r>
      <w:r>
        <w:t>2010</w:t>
      </w:r>
      <w:r>
        <w:rPr>
          <w:rFonts w:hint="eastAsia"/>
        </w:rPr>
        <w:t>）</w:t>
      </w:r>
    </w:p>
  </w:footnote>
  <w:footnote w:id="44">
    <w:p w:rsidR="00DB326D" w:rsidRDefault="00DB326D" w:rsidP="00DB326D">
      <w:pPr>
        <w:pStyle w:val="aa"/>
      </w:pPr>
      <w:r>
        <w:rPr>
          <w:rStyle w:val="ac"/>
        </w:rPr>
        <w:footnoteRef/>
      </w:r>
      <w:r>
        <w:t xml:space="preserve"> </w:t>
      </w:r>
      <w:r>
        <w:rPr>
          <w:rFonts w:hint="eastAsia"/>
        </w:rPr>
        <w:t>同註</w:t>
      </w:r>
      <w:r>
        <w:t>46, p164</w:t>
      </w:r>
    </w:p>
  </w:footnote>
  <w:footnote w:id="45">
    <w:p w:rsidR="00DB326D" w:rsidRPr="0041376D" w:rsidRDefault="00DB326D" w:rsidP="00DB326D">
      <w:pPr>
        <w:spacing w:line="240" w:lineRule="exact"/>
        <w:rPr>
          <w:rFonts w:hint="eastAsia"/>
          <w:b/>
          <w:sz w:val="20"/>
        </w:rPr>
      </w:pPr>
      <w:r>
        <w:rPr>
          <w:rStyle w:val="ac"/>
        </w:rPr>
        <w:footnoteRef/>
      </w:r>
      <w:r>
        <w:t xml:space="preserve"> </w:t>
      </w:r>
      <w:r w:rsidRPr="0041376D">
        <w:rPr>
          <w:b/>
          <w:sz w:val="20"/>
          <w:lang w:eastAsia="ja-JP"/>
        </w:rPr>
        <w:t xml:space="preserve">Matt </w:t>
      </w:r>
      <w:proofErr w:type="spellStart"/>
      <w:r w:rsidRPr="0041376D">
        <w:rPr>
          <w:b/>
          <w:sz w:val="20"/>
          <w:lang w:eastAsia="ja-JP"/>
        </w:rPr>
        <w:t>Altshuler</w:t>
      </w:r>
      <w:proofErr w:type="spellEnd"/>
      <w:r w:rsidRPr="0041376D">
        <w:rPr>
          <w:b/>
          <w:sz w:val="20"/>
          <w:lang w:eastAsia="ja-JP"/>
        </w:rPr>
        <w:t xml:space="preserve">, </w:t>
      </w:r>
      <w:proofErr w:type="spellStart"/>
      <w:r w:rsidRPr="0041376D">
        <w:rPr>
          <w:b/>
          <w:sz w:val="20"/>
          <w:lang w:eastAsia="ja-JP"/>
        </w:rPr>
        <w:t>J.Kyden</w:t>
      </w:r>
      <w:proofErr w:type="spellEnd"/>
      <w:r w:rsidRPr="0041376D">
        <w:rPr>
          <w:b/>
          <w:sz w:val="20"/>
          <w:lang w:eastAsia="ja-JP"/>
        </w:rPr>
        <w:t xml:space="preserve"> </w:t>
      </w:r>
      <w:proofErr w:type="spellStart"/>
      <w:r w:rsidRPr="0041376D">
        <w:rPr>
          <w:b/>
          <w:sz w:val="20"/>
          <w:lang w:eastAsia="ja-JP"/>
        </w:rPr>
        <w:t>Creekpaum</w:t>
      </w:r>
      <w:proofErr w:type="spellEnd"/>
      <w:r w:rsidRPr="0041376D">
        <w:rPr>
          <w:b/>
          <w:sz w:val="20"/>
          <w:lang w:eastAsia="ja-JP"/>
        </w:rPr>
        <w:t>, Jim Fang</w:t>
      </w:r>
      <w:r w:rsidRPr="0032105E">
        <w:rPr>
          <w:sz w:val="20"/>
          <w:lang w:eastAsia="ja-JP"/>
        </w:rPr>
        <w:t xml:space="preserve">, </w:t>
      </w:r>
      <w:r w:rsidRPr="0032105E">
        <w:rPr>
          <w:i/>
          <w:sz w:val="20"/>
          <w:lang w:eastAsia="ja-JP"/>
        </w:rPr>
        <w:t>H</w:t>
      </w:r>
      <w:r>
        <w:rPr>
          <w:i/>
          <w:sz w:val="20"/>
        </w:rPr>
        <w:t>EALTH CARE FRAUD</w:t>
      </w:r>
      <w:r w:rsidRPr="0032105E">
        <w:rPr>
          <w:i/>
          <w:sz w:val="20"/>
          <w:lang w:eastAsia="ja-JP"/>
        </w:rPr>
        <w:t>,</w:t>
      </w:r>
      <w:r w:rsidRPr="0032105E">
        <w:rPr>
          <w:sz w:val="20"/>
          <w:lang w:eastAsia="ja-JP"/>
        </w:rPr>
        <w:t xml:space="preserve"> </w:t>
      </w:r>
      <w:r w:rsidRPr="0041376D">
        <w:rPr>
          <w:b/>
          <w:sz w:val="20"/>
          <w:lang w:eastAsia="ja-JP"/>
        </w:rPr>
        <w:t xml:space="preserve">American Criminal </w:t>
      </w:r>
    </w:p>
    <w:p w:rsidR="00DB326D" w:rsidRDefault="00DB326D" w:rsidP="00DB326D">
      <w:pPr>
        <w:spacing w:line="240" w:lineRule="exact"/>
        <w:ind w:firstLineChars="150" w:firstLine="300"/>
      </w:pPr>
      <w:r w:rsidRPr="0041376D">
        <w:rPr>
          <w:b/>
          <w:sz w:val="20"/>
          <w:lang w:eastAsia="ja-JP"/>
        </w:rPr>
        <w:t>Law</w:t>
      </w:r>
      <w:r w:rsidRPr="0041376D">
        <w:rPr>
          <w:b/>
          <w:sz w:val="20"/>
        </w:rPr>
        <w:t xml:space="preserve"> </w:t>
      </w:r>
      <w:r w:rsidRPr="0041376D">
        <w:rPr>
          <w:b/>
          <w:sz w:val="20"/>
          <w:lang w:eastAsia="ja-JP"/>
        </w:rPr>
        <w:t>Review</w:t>
      </w:r>
      <w:r>
        <w:rPr>
          <w:rFonts w:hint="eastAsia"/>
          <w:b/>
          <w:sz w:val="20"/>
        </w:rPr>
        <w:t>,</w:t>
      </w:r>
      <w:r>
        <w:rPr>
          <w:sz w:val="20"/>
        </w:rPr>
        <w:t xml:space="preserve"> p</w:t>
      </w:r>
      <w:r w:rsidRPr="0032105E">
        <w:rPr>
          <w:sz w:val="20"/>
          <w:lang w:eastAsia="ja-JP"/>
        </w:rPr>
        <w:t>64</w:t>
      </w:r>
      <w:r>
        <w:rPr>
          <w:sz w:val="20"/>
        </w:rPr>
        <w:t>8</w:t>
      </w:r>
      <w:r>
        <w:rPr>
          <w:rFonts w:hint="eastAsia"/>
          <w:sz w:val="20"/>
        </w:rPr>
        <w:t>、</w:t>
      </w:r>
      <w:r>
        <w:rPr>
          <w:sz w:val="20"/>
        </w:rPr>
        <w:t>651</w:t>
      </w:r>
      <w:r>
        <w:rPr>
          <w:rFonts w:hint="eastAsia"/>
          <w:sz w:val="20"/>
        </w:rPr>
        <w:t>（</w:t>
      </w:r>
      <w:r w:rsidRPr="0032105E">
        <w:rPr>
          <w:sz w:val="20"/>
          <w:lang w:eastAsia="ja-JP"/>
        </w:rPr>
        <w:t>2008</w:t>
      </w:r>
      <w:r>
        <w:rPr>
          <w:rFonts w:hint="eastAsia"/>
          <w:sz w:val="20"/>
        </w:rPr>
        <w:t>）</w:t>
      </w:r>
    </w:p>
  </w:footnote>
  <w:footnote w:id="46">
    <w:p w:rsidR="00DB326D" w:rsidRDefault="00DB326D" w:rsidP="00DB326D">
      <w:pPr>
        <w:pStyle w:val="aa"/>
      </w:pPr>
      <w:r>
        <w:rPr>
          <w:rStyle w:val="ac"/>
        </w:rPr>
        <w:footnoteRef/>
      </w:r>
      <w:r>
        <w:t xml:space="preserve"> </w:t>
      </w:r>
      <w:r>
        <w:rPr>
          <w:rFonts w:hint="eastAsia"/>
        </w:rPr>
        <w:t>同註</w:t>
      </w:r>
      <w:r>
        <w:rPr>
          <w:rFonts w:hint="eastAsia"/>
        </w:rPr>
        <w:t>2</w:t>
      </w:r>
      <w:r>
        <w:t>7, p164-166</w:t>
      </w:r>
    </w:p>
  </w:footnote>
  <w:footnote w:id="47">
    <w:p w:rsidR="00DB326D" w:rsidRDefault="00DB326D" w:rsidP="00DB326D">
      <w:pPr>
        <w:pStyle w:val="aa"/>
      </w:pPr>
      <w:r>
        <w:rPr>
          <w:rStyle w:val="ac"/>
        </w:rPr>
        <w:footnoteRef/>
      </w:r>
      <w:r w:rsidRPr="00C506D7">
        <w:t xml:space="preserve"> </w:t>
      </w:r>
      <w:hyperlink r:id="rId5" w:history="1">
        <w:r w:rsidRPr="00C506D7">
          <w:rPr>
            <w:rStyle w:val="ae"/>
          </w:rPr>
          <w:t>http://www.taf.org/fcastatistics2006.pdf</w:t>
        </w:r>
      </w:hyperlink>
      <w:r w:rsidRPr="00C506D7">
        <w:t xml:space="preserve">, visited on 2010/07/21 </w:t>
      </w:r>
    </w:p>
  </w:footnote>
  <w:footnote w:id="48">
    <w:p w:rsidR="00DB326D" w:rsidRDefault="00DB326D" w:rsidP="00DB326D">
      <w:pPr>
        <w:pStyle w:val="aa"/>
      </w:pPr>
      <w:r>
        <w:rPr>
          <w:rStyle w:val="ac"/>
        </w:rPr>
        <w:footnoteRef/>
      </w:r>
      <w:r>
        <w:t xml:space="preserve"> United States ex rel. Franklin v. Parke-</w:t>
      </w:r>
      <w:proofErr w:type="gramStart"/>
      <w:r>
        <w:t>Davis ,</w:t>
      </w:r>
      <w:proofErr w:type="gramEnd"/>
      <w:r>
        <w:t xml:space="preserve"> 147F. Supp.2d 39</w:t>
      </w:r>
      <w:r>
        <w:rPr>
          <w:rFonts w:hint="eastAsia"/>
        </w:rPr>
        <w:t>（</w:t>
      </w:r>
      <w:r>
        <w:t>D.Mass.2001</w:t>
      </w:r>
      <w:r>
        <w:rPr>
          <w:rFonts w:hint="eastAsia"/>
        </w:rPr>
        <w:t>）</w:t>
      </w:r>
    </w:p>
  </w:footnote>
  <w:footnote w:id="49">
    <w:p w:rsidR="00DB326D" w:rsidRDefault="00DB326D" w:rsidP="00DB326D">
      <w:pPr>
        <w:pStyle w:val="aa"/>
        <w:ind w:left="200" w:hangingChars="100" w:hanging="200"/>
      </w:pPr>
      <w:r>
        <w:rPr>
          <w:rStyle w:val="ac"/>
        </w:rPr>
        <w:footnoteRef/>
      </w:r>
      <w:r>
        <w:t xml:space="preserve"> </w:t>
      </w:r>
      <w:r w:rsidRPr="00810C9A">
        <w:rPr>
          <w:rFonts w:ascii="Arial" w:hAnsi="Arial" w:cs="Arial" w:hint="eastAsia"/>
        </w:rPr>
        <w:t>醫療援助計劃是一個聯邦和州設的</w:t>
      </w:r>
      <w:r>
        <w:rPr>
          <w:rFonts w:ascii="Arial" w:hAnsi="Arial" w:cs="Arial" w:hint="eastAsia"/>
        </w:rPr>
        <w:t>醫療保險補助</w:t>
      </w:r>
      <w:r w:rsidRPr="00810C9A">
        <w:rPr>
          <w:rFonts w:ascii="Arial" w:hAnsi="Arial" w:cs="Arial" w:hint="eastAsia"/>
        </w:rPr>
        <w:t>方案，提供全面及廣泛的醫療服務，包括支付處方藥費用，給低收入和資源有限的人士</w:t>
      </w:r>
      <w:r w:rsidRPr="00810C9A">
        <w:rPr>
          <w:rFonts w:ascii="Arial" w:hAnsi="Arial" w:cs="Arial"/>
        </w:rPr>
        <w:t xml:space="preserve"> </w:t>
      </w:r>
      <w:hyperlink r:id="rId6" w:history="1">
        <w:r w:rsidRPr="00810C9A">
          <w:rPr>
            <w:rStyle w:val="ae"/>
            <w:rFonts w:ascii="Arial" w:hAnsi="Arial" w:cs="Arial"/>
          </w:rPr>
          <w:t>http://www.nyc.gov/html/caregiver/zh/paying_2.html</w:t>
        </w:r>
      </w:hyperlink>
      <w:r w:rsidRPr="00810C9A">
        <w:rPr>
          <w:rFonts w:ascii="Arial" w:hAnsi="Arial" w:cs="Arial"/>
        </w:rPr>
        <w:t xml:space="preserve"> visited on 10/02/2010</w:t>
      </w:r>
    </w:p>
  </w:footnote>
  <w:footnote w:id="50">
    <w:p w:rsidR="00DB326D" w:rsidRDefault="00DB326D" w:rsidP="00DB326D">
      <w:pPr>
        <w:pStyle w:val="aa"/>
      </w:pPr>
      <w:r>
        <w:rPr>
          <w:rStyle w:val="ac"/>
        </w:rPr>
        <w:footnoteRef/>
      </w:r>
      <w:r>
        <w:t xml:space="preserve"> Parke-</w:t>
      </w:r>
      <w:proofErr w:type="gramStart"/>
      <w:r>
        <w:t>Davis ,</w:t>
      </w:r>
      <w:proofErr w:type="gramEnd"/>
      <w:r>
        <w:t xml:space="preserve"> 147F. Supp.2d at 46</w:t>
      </w:r>
    </w:p>
  </w:footnote>
  <w:footnote w:id="51">
    <w:p w:rsidR="00DB326D" w:rsidRPr="0032737B" w:rsidRDefault="00DB326D" w:rsidP="00DB326D">
      <w:pPr>
        <w:pStyle w:val="aa"/>
        <w:rPr>
          <w:i/>
        </w:rPr>
      </w:pPr>
      <w:r>
        <w:rPr>
          <w:rStyle w:val="ac"/>
        </w:rPr>
        <w:footnoteRef/>
      </w:r>
      <w:r>
        <w:t xml:space="preserve"> </w:t>
      </w:r>
      <w:r w:rsidRPr="00CB1747">
        <w:rPr>
          <w:b/>
        </w:rPr>
        <w:t>Anna Wilde Mathews&amp; David Armstrong</w:t>
      </w:r>
      <w:r>
        <w:t xml:space="preserve">, </w:t>
      </w:r>
      <w:r w:rsidRPr="0032737B">
        <w:rPr>
          <w:i/>
        </w:rPr>
        <w:t>Pfizer Case Signals Tougher Action on Off-Label Drug</w:t>
      </w:r>
    </w:p>
    <w:p w:rsidR="00DB326D" w:rsidRDefault="00DB326D" w:rsidP="00DB326D">
      <w:pPr>
        <w:pStyle w:val="aa"/>
      </w:pPr>
      <w:r w:rsidRPr="0032737B">
        <w:rPr>
          <w:i/>
        </w:rPr>
        <w:t xml:space="preserve">  Use</w:t>
      </w:r>
      <w:r>
        <w:t xml:space="preserve">, Wall St. J. 2004/5/14, at B1 </w:t>
      </w:r>
    </w:p>
  </w:footnote>
  <w:footnote w:id="52">
    <w:p w:rsidR="00DB326D" w:rsidRDefault="00DB326D" w:rsidP="00DB326D">
      <w:pPr>
        <w:pStyle w:val="aa"/>
        <w:ind w:left="200" w:hangingChars="100" w:hanging="200"/>
      </w:pPr>
      <w:r>
        <w:rPr>
          <w:rStyle w:val="ac"/>
        </w:rPr>
        <w:footnoteRef/>
      </w:r>
      <w:r>
        <w:t xml:space="preserve"> </w:t>
      </w:r>
      <w:r w:rsidRPr="00CB1747">
        <w:rPr>
          <w:b/>
        </w:rPr>
        <w:t>Stephanie Greene</w:t>
      </w:r>
      <w:r>
        <w:t xml:space="preserve"> , </w:t>
      </w:r>
      <w:r w:rsidRPr="0032737B">
        <w:rPr>
          <w:i/>
        </w:rPr>
        <w:t>False</w:t>
      </w:r>
      <w:r>
        <w:rPr>
          <w:i/>
        </w:rPr>
        <w:t xml:space="preserve"> C</w:t>
      </w:r>
      <w:r w:rsidRPr="0032737B">
        <w:rPr>
          <w:i/>
        </w:rPr>
        <w:t xml:space="preserve">laims </w:t>
      </w:r>
      <w:r>
        <w:rPr>
          <w:i/>
        </w:rPr>
        <w:t>A</w:t>
      </w:r>
      <w:r w:rsidRPr="0032737B">
        <w:rPr>
          <w:i/>
        </w:rPr>
        <w:t>ct</w:t>
      </w:r>
      <w:r>
        <w:rPr>
          <w:i/>
        </w:rPr>
        <w:t xml:space="preserve"> L</w:t>
      </w:r>
      <w:r w:rsidRPr="0032737B">
        <w:rPr>
          <w:i/>
        </w:rPr>
        <w:t>iability</w:t>
      </w:r>
      <w:r>
        <w:rPr>
          <w:i/>
        </w:rPr>
        <w:t xml:space="preserve"> F</w:t>
      </w:r>
      <w:r w:rsidRPr="0032737B">
        <w:rPr>
          <w:i/>
        </w:rPr>
        <w:t>or</w:t>
      </w:r>
      <w:r>
        <w:rPr>
          <w:i/>
        </w:rPr>
        <w:t xml:space="preserve"> O</w:t>
      </w:r>
      <w:r w:rsidRPr="0032737B">
        <w:rPr>
          <w:i/>
        </w:rPr>
        <w:t>ff</w:t>
      </w:r>
      <w:r>
        <w:rPr>
          <w:i/>
        </w:rPr>
        <w:t>-L</w:t>
      </w:r>
      <w:r w:rsidRPr="0032737B">
        <w:rPr>
          <w:i/>
        </w:rPr>
        <w:t>abel</w:t>
      </w:r>
      <w:r>
        <w:rPr>
          <w:i/>
        </w:rPr>
        <w:t xml:space="preserve"> P</w:t>
      </w:r>
      <w:r w:rsidRPr="0032737B">
        <w:rPr>
          <w:i/>
        </w:rPr>
        <w:t>romotion</w:t>
      </w:r>
      <w:r>
        <w:rPr>
          <w:i/>
        </w:rPr>
        <w:t xml:space="preserve"> O</w:t>
      </w:r>
      <w:r w:rsidRPr="0032737B">
        <w:rPr>
          <w:i/>
        </w:rPr>
        <w:t>f</w:t>
      </w:r>
      <w:r>
        <w:rPr>
          <w:i/>
        </w:rPr>
        <w:t xml:space="preserve"> P</w:t>
      </w:r>
      <w:r w:rsidRPr="0032737B">
        <w:rPr>
          <w:i/>
        </w:rPr>
        <w:t xml:space="preserve">harmaceutical </w:t>
      </w:r>
      <w:r>
        <w:rPr>
          <w:i/>
        </w:rPr>
        <w:t>P</w:t>
      </w:r>
      <w:r w:rsidRPr="0032737B">
        <w:rPr>
          <w:i/>
        </w:rPr>
        <w:t xml:space="preserve">roducts , </w:t>
      </w:r>
      <w:r w:rsidRPr="00CB1747">
        <w:rPr>
          <w:b/>
        </w:rPr>
        <w:t>Penn state Law Review</w:t>
      </w:r>
      <w:r>
        <w:t xml:space="preserve"> ,p53-54</w:t>
      </w:r>
      <w:r>
        <w:rPr>
          <w:rFonts w:hint="eastAsia"/>
        </w:rPr>
        <w:t>（</w:t>
      </w:r>
      <w:r>
        <w:t>2005</w:t>
      </w:r>
      <w:r>
        <w:rPr>
          <w:rFonts w:hint="eastAsia"/>
        </w:rPr>
        <w:t>）</w:t>
      </w:r>
      <w:r>
        <w:t xml:space="preserve"> </w:t>
      </w:r>
    </w:p>
  </w:footnote>
  <w:footnote w:id="53">
    <w:p w:rsidR="00DB326D" w:rsidRDefault="00DB326D" w:rsidP="00DB326D">
      <w:pPr>
        <w:pStyle w:val="aa"/>
      </w:pPr>
      <w:r>
        <w:rPr>
          <w:rStyle w:val="ac"/>
        </w:rPr>
        <w:footnoteRef/>
      </w:r>
      <w:r>
        <w:t xml:space="preserve"> </w:t>
      </w:r>
      <w:r>
        <w:t>21 U.S.C.</w:t>
      </w:r>
      <w:r>
        <w:rPr>
          <w:rFonts w:ascii="新細明體" w:hAnsi="新細明體" w:hint="eastAsia"/>
        </w:rPr>
        <w:t>§</w:t>
      </w:r>
      <w:r>
        <w:rPr>
          <w:rFonts w:ascii="新細明體" w:hAnsi="新細明體"/>
        </w:rPr>
        <w:t xml:space="preserve"> </w:t>
      </w:r>
      <w:r>
        <w:t>331</w:t>
      </w:r>
      <w:r>
        <w:rPr>
          <w:rFonts w:hint="eastAsia"/>
        </w:rPr>
        <w:t>（</w:t>
      </w:r>
      <w:r>
        <w:t>a</w:t>
      </w:r>
      <w:r>
        <w:rPr>
          <w:rFonts w:hint="eastAsia"/>
        </w:rPr>
        <w:t>）</w:t>
      </w:r>
      <w:r>
        <w:t>, 331</w:t>
      </w:r>
      <w:r>
        <w:rPr>
          <w:rFonts w:hint="eastAsia"/>
        </w:rPr>
        <w:t>（</w:t>
      </w:r>
      <w:r>
        <w:t>d</w:t>
      </w:r>
      <w:r>
        <w:rPr>
          <w:rFonts w:hint="eastAsia"/>
        </w:rPr>
        <w:t>）</w:t>
      </w:r>
      <w:r>
        <w:t>, 352</w:t>
      </w:r>
      <w:r>
        <w:rPr>
          <w:rFonts w:hint="eastAsia"/>
        </w:rPr>
        <w:t>（</w:t>
      </w:r>
      <w:r>
        <w:t>f</w:t>
      </w:r>
      <w:r>
        <w:rPr>
          <w:rFonts w:hint="eastAsia"/>
        </w:rPr>
        <w:t>）（</w:t>
      </w:r>
      <w:r>
        <w:t>1</w:t>
      </w:r>
      <w:r>
        <w:rPr>
          <w:rFonts w:hint="eastAsia"/>
        </w:rPr>
        <w:t>）</w:t>
      </w:r>
      <w:r>
        <w:t>, 355</w:t>
      </w:r>
      <w:r>
        <w:rPr>
          <w:rFonts w:hint="eastAsia"/>
        </w:rPr>
        <w:t>（</w:t>
      </w:r>
      <w:r>
        <w:t>a</w:t>
      </w:r>
      <w:r>
        <w:rPr>
          <w:rFonts w:hint="eastAsia"/>
        </w:rPr>
        <w:t>）</w:t>
      </w:r>
    </w:p>
  </w:footnote>
  <w:footnote w:id="54">
    <w:p w:rsidR="00DB326D" w:rsidRDefault="00DB326D" w:rsidP="00DB326D">
      <w:pPr>
        <w:pStyle w:val="aa"/>
      </w:pPr>
      <w:r>
        <w:rPr>
          <w:rStyle w:val="ac"/>
        </w:rPr>
        <w:footnoteRef/>
      </w:r>
      <w:r>
        <w:t xml:space="preserve"> </w:t>
      </w:r>
      <w:r>
        <w:rPr>
          <w:rFonts w:hint="eastAsia"/>
        </w:rPr>
        <w:t>支付聯邦政府關於聯邦醫療援助計劃之損失</w:t>
      </w:r>
      <w:r>
        <w:t>8.36</w:t>
      </w:r>
      <w:r>
        <w:rPr>
          <w:rFonts w:hint="eastAsia"/>
        </w:rPr>
        <w:t>億，支付</w:t>
      </w:r>
      <w:r>
        <w:t>50</w:t>
      </w:r>
      <w:r>
        <w:rPr>
          <w:rFonts w:hint="eastAsia"/>
        </w:rPr>
        <w:t>州政府和哥倫比亞特區關於州的</w:t>
      </w:r>
    </w:p>
    <w:p w:rsidR="00DB326D" w:rsidRDefault="00DB326D" w:rsidP="00DB326D">
      <w:pPr>
        <w:pStyle w:val="aa"/>
      </w:pPr>
      <w:r>
        <w:t xml:space="preserve">  </w:t>
      </w:r>
      <w:r>
        <w:rPr>
          <w:rFonts w:hint="eastAsia"/>
        </w:rPr>
        <w:t>醫療援助計劃損失</w:t>
      </w:r>
      <w:r>
        <w:t>6.84</w:t>
      </w:r>
      <w:r>
        <w:rPr>
          <w:rFonts w:hint="eastAsia"/>
        </w:rPr>
        <w:t>億和對於消費者造成損害</w:t>
      </w:r>
      <w:r>
        <w:t>3.8</w:t>
      </w:r>
      <w:r>
        <w:rPr>
          <w:rFonts w:hint="eastAsia"/>
        </w:rPr>
        <w:t>億，參見</w:t>
      </w:r>
      <w:r>
        <w:t>Sentencing Memorandum of the</w:t>
      </w:r>
    </w:p>
    <w:p w:rsidR="00DB326D" w:rsidRDefault="00DB326D" w:rsidP="00DB326D">
      <w:pPr>
        <w:pStyle w:val="aa"/>
      </w:pPr>
      <w:r>
        <w:t xml:space="preserve">  United States, United States v. Warner-Lambert Co.</w:t>
      </w:r>
      <w:r>
        <w:rPr>
          <w:rFonts w:hint="eastAsia"/>
        </w:rPr>
        <w:t xml:space="preserve"> </w:t>
      </w:r>
      <w:r>
        <w:t>LLC,</w:t>
      </w:r>
      <w:r>
        <w:rPr>
          <w:rFonts w:hint="eastAsia"/>
        </w:rPr>
        <w:t xml:space="preserve"> </w:t>
      </w:r>
      <w:r>
        <w:t>Criminal No. 04-10150 RGS</w:t>
      </w:r>
      <w:r>
        <w:rPr>
          <w:rFonts w:hint="eastAsia"/>
        </w:rPr>
        <w:t>（</w:t>
      </w:r>
      <w:r>
        <w:t>D. Mass.,</w:t>
      </w:r>
    </w:p>
    <w:p w:rsidR="00DB326D" w:rsidRDefault="00DB326D" w:rsidP="00DB326D">
      <w:pPr>
        <w:pStyle w:val="aa"/>
      </w:pPr>
      <w:r>
        <w:t xml:space="preserve">  Field June 2, 2004</w:t>
      </w:r>
      <w:r>
        <w:rPr>
          <w:rFonts w:hint="eastAsia"/>
        </w:rPr>
        <w:t>）</w:t>
      </w:r>
      <w:r>
        <w:t xml:space="preserve">  </w:t>
      </w:r>
    </w:p>
  </w:footnote>
  <w:footnote w:id="55">
    <w:p w:rsidR="00DB326D" w:rsidRDefault="00DB326D" w:rsidP="00DB326D">
      <w:pPr>
        <w:pStyle w:val="aa"/>
      </w:pPr>
      <w:r>
        <w:rPr>
          <w:rStyle w:val="ac"/>
        </w:rPr>
        <w:footnoteRef/>
      </w:r>
      <w:r>
        <w:t xml:space="preserve"> </w:t>
      </w:r>
      <w:r>
        <w:rPr>
          <w:rFonts w:hint="eastAsia"/>
        </w:rPr>
        <w:t>同註</w:t>
      </w:r>
      <w:r>
        <w:rPr>
          <w:rFonts w:hint="eastAsia"/>
        </w:rPr>
        <w:t>2</w:t>
      </w:r>
      <w:r>
        <w:t>7, p172-173</w:t>
      </w:r>
    </w:p>
  </w:footnote>
  <w:footnote w:id="56">
    <w:p w:rsidR="00DB326D" w:rsidRDefault="00DB326D" w:rsidP="00DB326D">
      <w:pPr>
        <w:pStyle w:val="aa"/>
      </w:pPr>
      <w:r>
        <w:rPr>
          <w:rStyle w:val="ac"/>
        </w:rPr>
        <w:footnoteRef/>
      </w:r>
      <w:r>
        <w:t xml:space="preserve"> </w:t>
      </w:r>
      <w:r>
        <w:rPr>
          <w:rFonts w:hint="eastAsia"/>
        </w:rPr>
        <w:t>同註</w:t>
      </w:r>
      <w:r>
        <w:rPr>
          <w:rFonts w:hint="eastAsia"/>
        </w:rPr>
        <w:t>2</w:t>
      </w:r>
      <w:r>
        <w:t>7, p178</w:t>
      </w:r>
    </w:p>
  </w:footnote>
  <w:footnote w:id="57">
    <w:p w:rsidR="00DB326D" w:rsidRDefault="00DB326D" w:rsidP="00DB326D">
      <w:pPr>
        <w:pStyle w:val="aa"/>
      </w:pPr>
      <w:r>
        <w:rPr>
          <w:rStyle w:val="ac"/>
        </w:rPr>
        <w:footnoteRef/>
      </w:r>
      <w:r>
        <w:t xml:space="preserve"> </w:t>
      </w:r>
      <w:r>
        <w:rPr>
          <w:rFonts w:hint="eastAsia"/>
        </w:rPr>
        <w:t>同註</w:t>
      </w:r>
      <w:r>
        <w:rPr>
          <w:rFonts w:hint="eastAsia"/>
        </w:rPr>
        <w:t>2</w:t>
      </w:r>
      <w:r>
        <w:t>8</w:t>
      </w:r>
    </w:p>
  </w:footnote>
  <w:footnote w:id="58">
    <w:p w:rsidR="00DB326D" w:rsidRDefault="00DB326D" w:rsidP="00DB326D">
      <w:pPr>
        <w:pStyle w:val="aa"/>
      </w:pPr>
      <w:r>
        <w:rPr>
          <w:rStyle w:val="ac"/>
        </w:rPr>
        <w:footnoteRef/>
      </w:r>
      <w:r>
        <w:t xml:space="preserve"> </w:t>
      </w:r>
      <w:r>
        <w:rPr>
          <w:rFonts w:hint="eastAsia"/>
        </w:rPr>
        <w:t>同註</w:t>
      </w:r>
      <w:r>
        <w:t>3</w:t>
      </w:r>
    </w:p>
  </w:footnote>
  <w:footnote w:id="59">
    <w:p w:rsidR="00DB326D" w:rsidRDefault="00DB326D" w:rsidP="00DB326D">
      <w:pPr>
        <w:pStyle w:val="aa"/>
      </w:pPr>
      <w:r>
        <w:rPr>
          <w:rStyle w:val="ac"/>
        </w:rPr>
        <w:footnoteRef/>
      </w:r>
      <w:r>
        <w:t xml:space="preserve"> </w:t>
      </w:r>
      <w:r>
        <w:rPr>
          <w:rFonts w:hint="eastAsia"/>
        </w:rPr>
        <w:t>同註</w:t>
      </w:r>
      <w:r>
        <w:rPr>
          <w:rFonts w:hint="eastAsia"/>
        </w:rPr>
        <w:t>2</w:t>
      </w:r>
      <w:r>
        <w:t>7, p177</w:t>
      </w:r>
    </w:p>
  </w:footnote>
  <w:footnote w:id="60">
    <w:p w:rsidR="00DB326D" w:rsidRDefault="00DB326D" w:rsidP="00DB326D">
      <w:pPr>
        <w:pStyle w:val="aa"/>
      </w:pPr>
      <w:r>
        <w:rPr>
          <w:rStyle w:val="ac"/>
        </w:rPr>
        <w:footnoteRef/>
      </w:r>
      <w:r>
        <w:t xml:space="preserve"> Bone Screw Litigation , 1996 WL107556</w:t>
      </w:r>
    </w:p>
  </w:footnote>
  <w:footnote w:id="61">
    <w:p w:rsidR="00DB326D" w:rsidRDefault="00DB326D" w:rsidP="00DB326D">
      <w:pPr>
        <w:pStyle w:val="aa"/>
      </w:pPr>
      <w:r>
        <w:rPr>
          <w:rStyle w:val="ac"/>
        </w:rPr>
        <w:footnoteRef/>
      </w:r>
      <w:r>
        <w:t xml:space="preserve"> </w:t>
      </w:r>
      <w:r>
        <w:rPr>
          <w:rFonts w:ascii="Arial" w:eastAsia="細明體" w:hAnsi="Arial" w:cs="Arial" w:hint="eastAsia"/>
        </w:rPr>
        <w:t>把受影響的脊椎骨固合，以防止進一步的變形。</w:t>
      </w:r>
    </w:p>
  </w:footnote>
  <w:footnote w:id="62">
    <w:p w:rsidR="00DB326D" w:rsidRDefault="00DB326D" w:rsidP="00DB326D">
      <w:pPr>
        <w:pStyle w:val="aa"/>
      </w:pPr>
      <w:r>
        <w:rPr>
          <w:rStyle w:val="ac"/>
        </w:rPr>
        <w:footnoteRef/>
      </w:r>
      <w:r>
        <w:t xml:space="preserve"> </w:t>
      </w:r>
      <w:r>
        <w:rPr>
          <w:rFonts w:hint="eastAsia"/>
        </w:rPr>
        <w:t>同註</w:t>
      </w:r>
      <w:r>
        <w:rPr>
          <w:rFonts w:hint="eastAsia"/>
        </w:rPr>
        <w:t>20</w:t>
      </w:r>
      <w:r>
        <w:t>, p992-994</w:t>
      </w:r>
    </w:p>
  </w:footnote>
  <w:footnote w:id="63">
    <w:p w:rsidR="00DB326D" w:rsidRDefault="00DB326D" w:rsidP="00DB326D">
      <w:pPr>
        <w:pStyle w:val="aa"/>
        <w:rPr>
          <w:rFonts w:hint="eastAsia"/>
        </w:rPr>
      </w:pPr>
      <w:r>
        <w:rPr>
          <w:rStyle w:val="ac"/>
        </w:rPr>
        <w:footnoteRef/>
      </w:r>
      <w:r>
        <w:t xml:space="preserve"> </w:t>
      </w:r>
      <w:r>
        <w:rPr>
          <w:rFonts w:hint="eastAsia"/>
        </w:rPr>
        <w:t>N</w:t>
      </w:r>
      <w:r>
        <w:t xml:space="preserve">ishi </w:t>
      </w:r>
      <w:r>
        <w:rPr>
          <w:rFonts w:hint="eastAsia"/>
        </w:rPr>
        <w:t>v</w:t>
      </w:r>
      <w:r>
        <w:t>. Hartwell, 52 Haw.188, 473 P.2d 116</w:t>
      </w:r>
      <w:r>
        <w:rPr>
          <w:rFonts w:hint="eastAsia"/>
        </w:rPr>
        <w:t>（</w:t>
      </w:r>
      <w:r>
        <w:rPr>
          <w:rFonts w:hint="eastAsia"/>
        </w:rPr>
        <w:t>1970</w:t>
      </w:r>
      <w:r>
        <w:rPr>
          <w:rFonts w:hint="eastAsia"/>
        </w:rPr>
        <w:t>）</w:t>
      </w:r>
    </w:p>
  </w:footnote>
  <w:footnote w:id="64">
    <w:p w:rsidR="00DB326D" w:rsidRDefault="00DB326D" w:rsidP="00DB326D">
      <w:pPr>
        <w:pStyle w:val="aa"/>
      </w:pPr>
      <w:r>
        <w:rPr>
          <w:rStyle w:val="ac"/>
        </w:rPr>
        <w:footnoteRef/>
      </w:r>
      <w:r w:rsidRPr="0076450F">
        <w:rPr>
          <w:rFonts w:ascii="新細明體" w:hAnsi="新細明體"/>
        </w:rPr>
        <w:t xml:space="preserve"> </w:t>
      </w:r>
      <w:r w:rsidRPr="0076450F">
        <w:rPr>
          <w:rFonts w:ascii="新細明體" w:hAnsi="新細明體" w:hint="eastAsia"/>
        </w:rPr>
        <w:t>同註</w:t>
      </w:r>
      <w:r>
        <w:rPr>
          <w:rFonts w:ascii="新細明體" w:hAnsi="新細明體" w:hint="eastAsia"/>
        </w:rPr>
        <w:t>2</w:t>
      </w:r>
      <w:r w:rsidRPr="0076450F">
        <w:rPr>
          <w:rFonts w:ascii="新細明體" w:hAnsi="新細明體"/>
        </w:rPr>
        <w:t>0, p995</w:t>
      </w:r>
    </w:p>
  </w:footnote>
  <w:footnote w:id="65">
    <w:p w:rsidR="00DB326D" w:rsidRDefault="00DB326D" w:rsidP="00DB326D">
      <w:pPr>
        <w:pStyle w:val="aa"/>
      </w:pPr>
      <w:r>
        <w:rPr>
          <w:rStyle w:val="ac"/>
        </w:rPr>
        <w:footnoteRef/>
      </w:r>
      <w:r>
        <w:rPr>
          <w:rFonts w:ascii="Arial" w:hAnsi="Arial" w:cs="Arial"/>
          <w:color w:val="000000"/>
        </w:rPr>
        <w:t xml:space="preserve"> </w:t>
      </w:r>
      <w:r w:rsidRPr="00B325C4">
        <w:rPr>
          <w:rFonts w:cs="Arial"/>
          <w:color w:val="000000"/>
        </w:rPr>
        <w:t xml:space="preserve">Ahern </w:t>
      </w:r>
      <w:proofErr w:type="spellStart"/>
      <w:r w:rsidRPr="00B325C4">
        <w:rPr>
          <w:rFonts w:cs="Arial"/>
          <w:color w:val="000000"/>
        </w:rPr>
        <w:t>v.Veterans</w:t>
      </w:r>
      <w:proofErr w:type="spellEnd"/>
      <w:r w:rsidRPr="00B325C4">
        <w:rPr>
          <w:rFonts w:cs="Arial"/>
          <w:color w:val="000000"/>
        </w:rPr>
        <w:t xml:space="preserve"> </w:t>
      </w:r>
      <w:proofErr w:type="gramStart"/>
      <w:r w:rsidRPr="00B325C4">
        <w:rPr>
          <w:rFonts w:cs="Arial"/>
          <w:color w:val="000000"/>
        </w:rPr>
        <w:t>Admin..</w:t>
      </w:r>
      <w:proofErr w:type="gramEnd"/>
      <w:r w:rsidRPr="00B325C4">
        <w:rPr>
          <w:rFonts w:cs="Arial"/>
          <w:color w:val="000000"/>
        </w:rPr>
        <w:t xml:space="preserve"> 537 F.2d 1098 , 1100-02</w:t>
      </w:r>
      <w:r w:rsidRPr="00B325C4">
        <w:rPr>
          <w:rFonts w:hAnsi="Arial" w:cs="Arial" w:hint="eastAsia"/>
          <w:color w:val="000000"/>
        </w:rPr>
        <w:t>（</w:t>
      </w:r>
      <w:r w:rsidRPr="00B325C4">
        <w:rPr>
          <w:rFonts w:cs="Arial"/>
          <w:color w:val="000000"/>
        </w:rPr>
        <w:t>10</w:t>
      </w:r>
      <w:r w:rsidRPr="00B325C4">
        <w:rPr>
          <w:rFonts w:cs="Arial"/>
          <w:color w:val="000000"/>
          <w:vertAlign w:val="superscript"/>
        </w:rPr>
        <w:t>th</w:t>
      </w:r>
      <w:r w:rsidRPr="00B325C4">
        <w:rPr>
          <w:rFonts w:cs="Arial"/>
          <w:color w:val="000000"/>
        </w:rPr>
        <w:t xml:space="preserve"> Cir 1976</w:t>
      </w:r>
      <w:r w:rsidRPr="00B325C4">
        <w:rPr>
          <w:rFonts w:hAnsi="Arial" w:cs="Arial" w:hint="eastAsia"/>
          <w:color w:val="000000"/>
        </w:rPr>
        <w:t>）</w:t>
      </w:r>
      <w:r w:rsidRPr="00B325C4">
        <w:rPr>
          <w:rFonts w:cs="Arial"/>
          <w:color w:val="000000"/>
        </w:rPr>
        <w:t xml:space="preserve"> </w:t>
      </w:r>
      <w:r w:rsidRPr="00B325C4">
        <w:t xml:space="preserve"> </w:t>
      </w:r>
    </w:p>
  </w:footnote>
  <w:footnote w:id="66">
    <w:p w:rsidR="00DB326D" w:rsidRDefault="00DB326D" w:rsidP="00DB326D">
      <w:pPr>
        <w:pStyle w:val="aa"/>
      </w:pPr>
      <w:r w:rsidRPr="00B325C4">
        <w:rPr>
          <w:rStyle w:val="ac"/>
        </w:rPr>
        <w:footnoteRef/>
      </w:r>
      <w:r w:rsidRPr="00B325C4">
        <w:rPr>
          <w:rFonts w:cs="Arial"/>
          <w:color w:val="000000"/>
        </w:rPr>
        <w:t xml:space="preserve"> Corrigan V. Methodist </w:t>
      </w:r>
      <w:proofErr w:type="gramStart"/>
      <w:r w:rsidRPr="00B325C4">
        <w:rPr>
          <w:rFonts w:cs="Arial"/>
          <w:color w:val="000000"/>
        </w:rPr>
        <w:t>Hosp..</w:t>
      </w:r>
      <w:proofErr w:type="gramEnd"/>
      <w:r w:rsidRPr="00B325C4">
        <w:rPr>
          <w:rFonts w:cs="Arial"/>
          <w:color w:val="000000"/>
        </w:rPr>
        <w:t xml:space="preserve">  874 F. Supp. 657 , 658</w:t>
      </w:r>
      <w:r w:rsidRPr="00B325C4">
        <w:rPr>
          <w:rFonts w:hAnsi="Arial" w:cs="Arial" w:hint="eastAsia"/>
          <w:color w:val="000000"/>
        </w:rPr>
        <w:t>（</w:t>
      </w:r>
      <w:r w:rsidRPr="00B325C4">
        <w:rPr>
          <w:rFonts w:cs="Arial"/>
          <w:color w:val="000000"/>
        </w:rPr>
        <w:t>E.D. Pa.1995</w:t>
      </w:r>
      <w:r w:rsidRPr="00B325C4">
        <w:rPr>
          <w:rFonts w:hAnsi="Arial" w:cs="Arial" w:hint="eastAsia"/>
          <w:color w:val="000000"/>
        </w:rPr>
        <w:t>）</w:t>
      </w:r>
      <w:r>
        <w:t xml:space="preserve"> </w:t>
      </w:r>
    </w:p>
  </w:footnote>
  <w:footnote w:id="67">
    <w:p w:rsidR="00DB326D" w:rsidRDefault="00DB326D" w:rsidP="00DB326D">
      <w:pPr>
        <w:pStyle w:val="aa"/>
        <w:ind w:left="200" w:hangingChars="100" w:hanging="200"/>
      </w:pPr>
      <w:r>
        <w:rPr>
          <w:rStyle w:val="ac"/>
        </w:rPr>
        <w:footnoteRef/>
      </w:r>
      <w:r>
        <w:t xml:space="preserve"> </w:t>
      </w:r>
      <w:proofErr w:type="gramStart"/>
      <w:r>
        <w:t>John</w:t>
      </w:r>
      <w:r>
        <w:rPr>
          <w:rFonts w:hint="eastAsia"/>
        </w:rPr>
        <w:t xml:space="preserve"> </w:t>
      </w:r>
      <w:r>
        <w:t>Moore v.</w:t>
      </w:r>
      <w:proofErr w:type="gramEnd"/>
      <w:r>
        <w:t xml:space="preserve"> The Regents of The University</w:t>
      </w:r>
      <w:r>
        <w:rPr>
          <w:rFonts w:hint="eastAsia"/>
        </w:rPr>
        <w:t xml:space="preserve"> </w:t>
      </w:r>
      <w:r>
        <w:t>of California, 271 Cal.Rptr.146</w:t>
      </w:r>
      <w:r>
        <w:rPr>
          <w:rFonts w:hint="eastAsia"/>
        </w:rPr>
        <w:t>（</w:t>
      </w:r>
      <w:r>
        <w:t>1991</w:t>
      </w:r>
      <w:r>
        <w:rPr>
          <w:rFonts w:hint="eastAsia"/>
        </w:rPr>
        <w:t>）</w:t>
      </w:r>
    </w:p>
  </w:footnote>
  <w:footnote w:id="68">
    <w:p w:rsidR="00DB326D" w:rsidRDefault="00DB326D" w:rsidP="00DB326D">
      <w:pPr>
        <w:pStyle w:val="aa"/>
      </w:pPr>
      <w:r>
        <w:rPr>
          <w:rStyle w:val="ac"/>
        </w:rPr>
        <w:footnoteRef/>
      </w:r>
      <w:r>
        <w:t xml:space="preserve"> </w:t>
      </w:r>
      <w:r>
        <w:rPr>
          <w:rFonts w:hint="eastAsia"/>
        </w:rPr>
        <w:t>同註</w:t>
      </w:r>
      <w:r>
        <w:rPr>
          <w:rFonts w:hint="eastAsia"/>
        </w:rPr>
        <w:t>2</w:t>
      </w:r>
      <w:r>
        <w:t>0</w:t>
      </w:r>
    </w:p>
  </w:footnote>
  <w:footnote w:id="69">
    <w:p w:rsidR="00DB326D" w:rsidRDefault="00DB326D" w:rsidP="00DB326D">
      <w:pPr>
        <w:pStyle w:val="aa"/>
      </w:pPr>
      <w:r>
        <w:rPr>
          <w:rStyle w:val="ac"/>
        </w:rPr>
        <w:footnoteRef/>
      </w:r>
      <w:r>
        <w:t xml:space="preserve"> </w:t>
      </w:r>
      <w:r>
        <w:rPr>
          <w:rFonts w:hint="eastAsia"/>
        </w:rPr>
        <w:t>同註</w:t>
      </w:r>
      <w:r>
        <w:rPr>
          <w:rFonts w:hint="eastAsia"/>
        </w:rPr>
        <w:t>20</w:t>
      </w:r>
      <w:r>
        <w:t>, p1000</w:t>
      </w:r>
    </w:p>
  </w:footnote>
  <w:footnote w:id="70">
    <w:p w:rsidR="00DB326D" w:rsidRDefault="00DB326D" w:rsidP="00DB326D">
      <w:pPr>
        <w:pStyle w:val="aa"/>
        <w:rPr>
          <w:rFonts w:hint="eastAsia"/>
        </w:rPr>
      </w:pPr>
      <w:r>
        <w:rPr>
          <w:rStyle w:val="ac"/>
        </w:rPr>
        <w:footnoteRef/>
      </w:r>
      <w:r>
        <w:t xml:space="preserve"> </w:t>
      </w:r>
      <w:r>
        <w:rPr>
          <w:rFonts w:hint="eastAsia"/>
        </w:rPr>
        <w:t>prima facie evidence</w:t>
      </w:r>
      <w:r>
        <w:rPr>
          <w:rFonts w:hint="eastAsia"/>
        </w:rPr>
        <w:t>，在此是指被告違反仿單記載而用藥，是否使原告在醫療過失侵權案件</w:t>
      </w:r>
      <w:r>
        <w:rPr>
          <w:rFonts w:hint="eastAsia"/>
        </w:rPr>
        <w:t xml:space="preserve"> </w:t>
      </w:r>
    </w:p>
    <w:p w:rsidR="00DB326D" w:rsidRPr="00F00AFE" w:rsidRDefault="00DB326D" w:rsidP="00DB326D">
      <w:pPr>
        <w:pStyle w:val="aa"/>
        <w:rPr>
          <w:rFonts w:hint="eastAsia"/>
        </w:rPr>
      </w:pPr>
      <w:r>
        <w:rPr>
          <w:rFonts w:hint="eastAsia"/>
        </w:rPr>
        <w:t xml:space="preserve">  </w:t>
      </w:r>
      <w:r>
        <w:rPr>
          <w:rFonts w:hint="eastAsia"/>
        </w:rPr>
        <w:t>，即推認有過失之事實，就我國民事訴訟上而言屬於待證事實舉證責任分配之問題。</w:t>
      </w:r>
    </w:p>
  </w:footnote>
  <w:footnote w:id="71">
    <w:p w:rsidR="00DB326D" w:rsidRDefault="00DB326D" w:rsidP="00DB326D">
      <w:pPr>
        <w:pStyle w:val="aa"/>
      </w:pPr>
      <w:r>
        <w:rPr>
          <w:rStyle w:val="ac"/>
        </w:rPr>
        <w:footnoteRef/>
      </w:r>
      <w:r>
        <w:t xml:space="preserve"> </w:t>
      </w:r>
      <w:r w:rsidRPr="005E604E">
        <w:t>Helen C.</w:t>
      </w:r>
      <w:r>
        <w:rPr>
          <w:rFonts w:hint="eastAsia"/>
        </w:rPr>
        <w:t xml:space="preserve"> </w:t>
      </w:r>
      <w:proofErr w:type="spellStart"/>
      <w:r w:rsidRPr="005E604E">
        <w:t>Mulder</w:t>
      </w:r>
      <w:proofErr w:type="spellEnd"/>
      <w:r w:rsidRPr="005E604E">
        <w:t xml:space="preserve"> </w:t>
      </w:r>
      <w:r>
        <w:t>v</w:t>
      </w:r>
      <w:r w:rsidRPr="005E604E">
        <w:t>.</w:t>
      </w:r>
      <w:r>
        <w:t xml:space="preserve"> </w:t>
      </w:r>
      <w:r w:rsidRPr="005E604E">
        <w:t>Parks Davis &amp; Company</w:t>
      </w:r>
      <w:r>
        <w:t xml:space="preserve">  288Minn.332,181 N.W 2d 882,45 A.L.R.3d 920</w:t>
      </w:r>
    </w:p>
  </w:footnote>
  <w:footnote w:id="72">
    <w:p w:rsidR="00DB326D" w:rsidRDefault="00DB326D" w:rsidP="00DB326D">
      <w:pPr>
        <w:pStyle w:val="aa"/>
      </w:pPr>
      <w:r>
        <w:rPr>
          <w:rStyle w:val="ac"/>
        </w:rPr>
        <w:footnoteRef/>
      </w:r>
      <w:r>
        <w:t xml:space="preserve"> Tina LHOTAK v. Donald M. LARSON  307Minn.121,238 N.W.2d 870</w:t>
      </w:r>
    </w:p>
  </w:footnote>
  <w:footnote w:id="73">
    <w:p w:rsidR="00DB326D" w:rsidRPr="00A03ABE" w:rsidRDefault="00DB326D" w:rsidP="00DB326D">
      <w:pPr>
        <w:pStyle w:val="aa"/>
        <w:rPr>
          <w:lang w:val="de-DE"/>
        </w:rPr>
      </w:pPr>
      <w:r>
        <w:rPr>
          <w:rStyle w:val="ac"/>
        </w:rPr>
        <w:footnoteRef/>
      </w:r>
      <w:r w:rsidRPr="007A4593">
        <w:rPr>
          <w:lang w:val="de-DE"/>
        </w:rPr>
        <w:t xml:space="preserve"> </w:t>
      </w:r>
      <w:r w:rsidRPr="007A4593">
        <w:rPr>
          <w:lang w:val="de-DE"/>
        </w:rPr>
        <w:t>Jeanne A.Reinhardt v. Roger S.Colton  337N.W.2d 88</w:t>
      </w:r>
    </w:p>
  </w:footnote>
  <w:footnote w:id="74">
    <w:p w:rsidR="00DB326D" w:rsidRPr="00B325C4" w:rsidRDefault="00DB326D" w:rsidP="00DB326D">
      <w:pPr>
        <w:pStyle w:val="aa"/>
        <w:rPr>
          <w:i/>
        </w:rPr>
      </w:pPr>
      <w:r>
        <w:rPr>
          <w:rStyle w:val="ac"/>
        </w:rPr>
        <w:footnoteRef/>
      </w:r>
      <w:r>
        <w:t xml:space="preserve"> </w:t>
      </w:r>
      <w:r w:rsidRPr="00CB1747">
        <w:rPr>
          <w:b/>
        </w:rPr>
        <w:t>Cynthia A. Moyer</w:t>
      </w:r>
      <w:r>
        <w:t xml:space="preserve">, </w:t>
      </w:r>
      <w:r w:rsidRPr="00B325C4">
        <w:rPr>
          <w:i/>
        </w:rPr>
        <w:t xml:space="preserve">OFF-LABEL USE AND THE MEDICAL NEGLIGENCE STANDARD </w:t>
      </w:r>
    </w:p>
    <w:p w:rsidR="00DB326D" w:rsidRDefault="00DB326D" w:rsidP="00DB326D">
      <w:pPr>
        <w:pStyle w:val="aa"/>
      </w:pPr>
      <w:r w:rsidRPr="00B325C4">
        <w:rPr>
          <w:i/>
        </w:rPr>
        <w:t xml:space="preserve">   </w:t>
      </w:r>
      <w:r w:rsidRPr="00B325C4">
        <w:rPr>
          <w:i/>
        </w:rPr>
        <w:t>UNDER MINNESOTA LAW</w:t>
      </w:r>
      <w:r>
        <w:t xml:space="preserve">, </w:t>
      </w:r>
      <w:r w:rsidRPr="00CB1747">
        <w:rPr>
          <w:b/>
        </w:rPr>
        <w:t>William Mitchell Law Review</w:t>
      </w:r>
      <w:r>
        <w:t>, p930-931</w:t>
      </w:r>
      <w:r>
        <w:rPr>
          <w:rFonts w:hint="eastAsia"/>
        </w:rPr>
        <w:t>（</w:t>
      </w:r>
      <w:r>
        <w:t>2005.</w:t>
      </w:r>
      <w:r>
        <w:rPr>
          <w:rFonts w:hint="eastAsia"/>
        </w:rPr>
        <w:t>）</w:t>
      </w:r>
    </w:p>
  </w:footnote>
  <w:footnote w:id="75">
    <w:p w:rsidR="00DB326D" w:rsidRDefault="00DB326D" w:rsidP="00DB326D">
      <w:pPr>
        <w:pStyle w:val="aa"/>
      </w:pPr>
      <w:r w:rsidRPr="00E915D1">
        <w:rPr>
          <w:rStyle w:val="ac"/>
        </w:rPr>
        <w:footnoteRef/>
      </w:r>
      <w:r w:rsidRPr="00E915D1">
        <w:rPr>
          <w:rFonts w:cs="Arial"/>
        </w:rPr>
        <w:t xml:space="preserve"> Richardson v. Miller, 44 S.W.3d 1, 13, n.11 (Tenn. Ct. App. 2000)</w:t>
      </w:r>
    </w:p>
  </w:footnote>
  <w:footnote w:id="76">
    <w:p w:rsidR="00DB326D" w:rsidRDefault="00DB326D" w:rsidP="00DB326D">
      <w:pPr>
        <w:pStyle w:val="aa"/>
        <w:rPr>
          <w:rFonts w:hint="eastAsia"/>
        </w:rPr>
      </w:pPr>
      <w:r w:rsidRPr="00E915D1">
        <w:rPr>
          <w:rStyle w:val="ac"/>
        </w:rPr>
        <w:footnoteRef/>
      </w:r>
      <w:r w:rsidRPr="00E915D1">
        <w:t xml:space="preserve"> </w:t>
      </w:r>
      <w:r w:rsidRPr="00E915D1">
        <w:t>Richardson, 44 S.W.3d at 16</w:t>
      </w:r>
      <w:r>
        <w:rPr>
          <w:rFonts w:hint="eastAsia"/>
        </w:rPr>
        <w:t>，在此是指仿單上記載，在醫療過失侵權案件可作為推認注意義</w:t>
      </w:r>
    </w:p>
    <w:p w:rsidR="00DB326D" w:rsidRDefault="00DB326D" w:rsidP="00DB326D">
      <w:pPr>
        <w:pStyle w:val="aa"/>
        <w:ind w:leftChars="84" w:left="202"/>
        <w:rPr>
          <w:rFonts w:hint="eastAsia"/>
        </w:rPr>
      </w:pPr>
      <w:r>
        <w:rPr>
          <w:rFonts w:hint="eastAsia"/>
        </w:rPr>
        <w:t>務之事實，被告可舉反證推翻在醫療常規下違反仿單記載之用藥，具有正當性。就我國民事訴訟上而言屬於待證事實證明之問題。</w:t>
      </w:r>
    </w:p>
  </w:footnote>
  <w:footnote w:id="77">
    <w:p w:rsidR="00DB326D" w:rsidRPr="00CB1747" w:rsidRDefault="00DB326D" w:rsidP="00DB326D">
      <w:pPr>
        <w:pStyle w:val="aa"/>
        <w:tabs>
          <w:tab w:val="left" w:pos="0"/>
        </w:tabs>
        <w:rPr>
          <w:i/>
        </w:rPr>
      </w:pPr>
      <w:r>
        <w:rPr>
          <w:rStyle w:val="ac"/>
        </w:rPr>
        <w:footnoteRef/>
      </w:r>
      <w:r>
        <w:t xml:space="preserve"> </w:t>
      </w:r>
      <w:r w:rsidRPr="00CB1747">
        <w:rPr>
          <w:b/>
        </w:rPr>
        <w:t>James R. Bird</w:t>
      </w:r>
      <w:r w:rsidRPr="00E915D1">
        <w:t>, Comment,</w:t>
      </w:r>
      <w:r w:rsidRPr="00CB1747">
        <w:rPr>
          <w:i/>
        </w:rPr>
        <w:t xml:space="preserve"> Package Inserts for Prescription Drugs as Evidence in Medical </w:t>
      </w:r>
    </w:p>
    <w:p w:rsidR="00DB326D" w:rsidRDefault="00DB326D" w:rsidP="00DB326D">
      <w:pPr>
        <w:pStyle w:val="aa"/>
      </w:pPr>
      <w:r w:rsidRPr="00CB1747">
        <w:rPr>
          <w:i/>
        </w:rPr>
        <w:t xml:space="preserve">   Malpractice Suits</w:t>
      </w:r>
      <w:r w:rsidRPr="00E915D1">
        <w:t xml:space="preserve">, </w:t>
      </w:r>
      <w:proofErr w:type="gramStart"/>
      <w:r w:rsidRPr="00CB1747">
        <w:rPr>
          <w:rFonts w:cs="Arial"/>
          <w:b/>
        </w:rPr>
        <w:t>The</w:t>
      </w:r>
      <w:proofErr w:type="gramEnd"/>
      <w:r w:rsidRPr="00CB1747">
        <w:rPr>
          <w:rFonts w:cs="Arial"/>
          <w:b/>
        </w:rPr>
        <w:t xml:space="preserve"> University of Chicago Law Review</w:t>
      </w:r>
      <w:r w:rsidRPr="00E915D1">
        <w:t xml:space="preserve"> (1977).</w:t>
      </w:r>
    </w:p>
  </w:footnote>
  <w:footnote w:id="78">
    <w:p w:rsidR="00DB326D" w:rsidRPr="00CB1747" w:rsidRDefault="00DB326D" w:rsidP="00DB326D">
      <w:pPr>
        <w:spacing w:line="240" w:lineRule="exact"/>
        <w:rPr>
          <w:b/>
          <w:sz w:val="20"/>
        </w:rPr>
      </w:pPr>
      <w:r>
        <w:rPr>
          <w:rStyle w:val="ac"/>
        </w:rPr>
        <w:footnoteRef/>
      </w:r>
      <w:r>
        <w:t xml:space="preserve"> </w:t>
      </w:r>
      <w:r w:rsidRPr="00CB1747">
        <w:rPr>
          <w:b/>
          <w:sz w:val="20"/>
        </w:rPr>
        <w:t>Mark Herrmann</w:t>
      </w:r>
      <w:r w:rsidRPr="00CB1747">
        <w:rPr>
          <w:rFonts w:hint="eastAsia"/>
          <w:b/>
          <w:sz w:val="20"/>
        </w:rPr>
        <w:t>、</w:t>
      </w:r>
      <w:r w:rsidRPr="00CB1747">
        <w:rPr>
          <w:b/>
          <w:sz w:val="20"/>
        </w:rPr>
        <w:t xml:space="preserve">Pearson </w:t>
      </w:r>
      <w:proofErr w:type="spellStart"/>
      <w:r w:rsidRPr="00CB1747">
        <w:rPr>
          <w:b/>
          <w:sz w:val="20"/>
        </w:rPr>
        <w:t>Bownas</w:t>
      </w:r>
      <w:proofErr w:type="spellEnd"/>
      <w:r w:rsidRPr="00E915D1">
        <w:rPr>
          <w:sz w:val="20"/>
        </w:rPr>
        <w:t xml:space="preserve">, </w:t>
      </w:r>
      <w:r w:rsidRPr="00E915D1">
        <w:rPr>
          <w:i/>
          <w:sz w:val="20"/>
        </w:rPr>
        <w:t>KEEPING THE LABEL OUT OF THE CASE</w:t>
      </w:r>
      <w:r w:rsidRPr="00E915D1">
        <w:rPr>
          <w:sz w:val="20"/>
        </w:rPr>
        <w:t xml:space="preserve">, </w:t>
      </w:r>
      <w:r w:rsidRPr="00CB1747">
        <w:rPr>
          <w:b/>
          <w:sz w:val="20"/>
        </w:rPr>
        <w:t>Northwestern</w:t>
      </w:r>
    </w:p>
    <w:p w:rsidR="00DB326D" w:rsidRDefault="00DB326D" w:rsidP="00DB326D">
      <w:pPr>
        <w:spacing w:line="240" w:lineRule="exact"/>
      </w:pPr>
      <w:r w:rsidRPr="00CB1747">
        <w:rPr>
          <w:b/>
          <w:sz w:val="20"/>
        </w:rPr>
        <w:t xml:space="preserve">   University Law Review Colloquy</w:t>
      </w:r>
      <w:r w:rsidRPr="00E915D1">
        <w:rPr>
          <w:sz w:val="20"/>
        </w:rPr>
        <w:t xml:space="preserve"> </w:t>
      </w:r>
      <w:r w:rsidRPr="00E915D1">
        <w:rPr>
          <w:rFonts w:hint="eastAsia"/>
          <w:sz w:val="20"/>
        </w:rPr>
        <w:t>（</w:t>
      </w:r>
      <w:r w:rsidRPr="00E915D1">
        <w:rPr>
          <w:sz w:val="20"/>
        </w:rPr>
        <w:t>2009 April 20</w:t>
      </w:r>
      <w:r w:rsidRPr="00E915D1">
        <w:rPr>
          <w:rFonts w:hint="eastAsia"/>
          <w:sz w:val="20"/>
        </w:rPr>
        <w:t>）</w:t>
      </w:r>
    </w:p>
  </w:footnote>
  <w:footnote w:id="79">
    <w:p w:rsidR="00DB326D" w:rsidRDefault="00DB326D" w:rsidP="00DB326D">
      <w:pPr>
        <w:pStyle w:val="aa"/>
      </w:pPr>
      <w:r>
        <w:rPr>
          <w:rStyle w:val="ac"/>
        </w:rPr>
        <w:footnoteRef/>
      </w:r>
      <w:r>
        <w:t xml:space="preserve"> </w:t>
      </w:r>
      <w:proofErr w:type="spellStart"/>
      <w:r w:rsidRPr="00CC34F7">
        <w:t>Spensieri</w:t>
      </w:r>
      <w:proofErr w:type="spellEnd"/>
      <w:r w:rsidRPr="00CC34F7">
        <w:t xml:space="preserve"> v. </w:t>
      </w:r>
      <w:proofErr w:type="spellStart"/>
      <w:r w:rsidRPr="00CC34F7">
        <w:t>Lasky</w:t>
      </w:r>
      <w:proofErr w:type="spellEnd"/>
      <w:r>
        <w:t xml:space="preserve">, </w:t>
      </w:r>
      <w:r w:rsidRPr="00CC34F7">
        <w:rPr>
          <w:rFonts w:cs="Arial"/>
        </w:rPr>
        <w:t>723 N.E.2d 544 (N.Y. 1999)</w:t>
      </w:r>
    </w:p>
  </w:footnote>
  <w:footnote w:id="80">
    <w:p w:rsidR="00DB326D" w:rsidRDefault="00DB326D" w:rsidP="00DB326D">
      <w:pPr>
        <w:pStyle w:val="aa"/>
        <w:rPr>
          <w:rFonts w:hint="eastAsia"/>
        </w:rPr>
      </w:pPr>
      <w:r>
        <w:rPr>
          <w:rStyle w:val="ac"/>
        </w:rPr>
        <w:footnoteRef/>
      </w:r>
      <w:r>
        <w:t xml:space="preserve"> Legal Status of Approved Labeling for Prescription Drugs; Prescription for Uses Unapproved by</w:t>
      </w:r>
    </w:p>
    <w:p w:rsidR="00DB326D" w:rsidRDefault="00DB326D" w:rsidP="00DB326D">
      <w:pPr>
        <w:pStyle w:val="aa"/>
        <w:ind w:firstLineChars="150" w:firstLine="300"/>
      </w:pPr>
      <w:proofErr w:type="gramStart"/>
      <w:r>
        <w:t>the</w:t>
      </w:r>
      <w:proofErr w:type="gramEnd"/>
      <w:r>
        <w:t xml:space="preserve"> Food and Drug Administration, 37 Fed. Reg. 16503</w:t>
      </w:r>
      <w:r>
        <w:rPr>
          <w:rFonts w:hint="eastAsia"/>
        </w:rPr>
        <w:t>（</w:t>
      </w:r>
      <w:r>
        <w:t>Proposed</w:t>
      </w:r>
      <w:r>
        <w:rPr>
          <w:rFonts w:hint="eastAsia"/>
        </w:rPr>
        <w:t xml:space="preserve"> </w:t>
      </w:r>
      <w:r>
        <w:t>Aug. 15, 1972</w:t>
      </w:r>
      <w:r>
        <w:rPr>
          <w:rFonts w:hint="eastAsia"/>
        </w:rPr>
        <w:t>）</w:t>
      </w:r>
    </w:p>
  </w:footnote>
  <w:footnote w:id="81">
    <w:p w:rsidR="00DB326D" w:rsidRDefault="00DB326D" w:rsidP="00DB326D">
      <w:pPr>
        <w:pStyle w:val="aa"/>
      </w:pPr>
      <w:r>
        <w:rPr>
          <w:rStyle w:val="ac"/>
        </w:rPr>
        <w:footnoteRef/>
      </w:r>
      <w:r>
        <w:t xml:space="preserve"> </w:t>
      </w:r>
      <w:r>
        <w:t>21 U.S.C.</w:t>
      </w:r>
      <w:r>
        <w:rPr>
          <w:rFonts w:ascii="新細明體" w:hAnsi="新細明體" w:hint="eastAsia"/>
        </w:rPr>
        <w:t>§</w:t>
      </w:r>
      <w:r>
        <w:t>396</w:t>
      </w:r>
      <w:r>
        <w:rPr>
          <w:rFonts w:hint="eastAsia"/>
        </w:rPr>
        <w:t>（</w:t>
      </w:r>
      <w:r>
        <w:t>2006</w:t>
      </w:r>
      <w:r>
        <w:rPr>
          <w:rFonts w:hint="eastAsia"/>
        </w:rPr>
        <w:t>）</w:t>
      </w:r>
    </w:p>
  </w:footnote>
  <w:footnote w:id="82">
    <w:p w:rsidR="00DB326D" w:rsidRDefault="00DB326D" w:rsidP="00DB326D">
      <w:pPr>
        <w:pStyle w:val="aa"/>
      </w:pPr>
      <w:r>
        <w:rPr>
          <w:rStyle w:val="ac"/>
        </w:rPr>
        <w:footnoteRef/>
      </w:r>
      <w:r>
        <w:t xml:space="preserve"> </w:t>
      </w:r>
      <w:r>
        <w:t>42 U.S.C.</w:t>
      </w:r>
      <w:r>
        <w:rPr>
          <w:rFonts w:ascii="新細明體" w:hAnsi="新細明體" w:hint="eastAsia"/>
        </w:rPr>
        <w:t>§</w:t>
      </w:r>
      <w:r>
        <w:t>1395x</w:t>
      </w:r>
      <w:r>
        <w:rPr>
          <w:rFonts w:hint="eastAsia"/>
        </w:rPr>
        <w:t>（</w:t>
      </w:r>
      <w:r>
        <w:t>t</w:t>
      </w:r>
      <w:r>
        <w:rPr>
          <w:rFonts w:hint="eastAsia"/>
        </w:rPr>
        <w:t>）（</w:t>
      </w:r>
      <w:r>
        <w:t>2</w:t>
      </w:r>
      <w:r>
        <w:rPr>
          <w:rFonts w:hint="eastAsia"/>
        </w:rPr>
        <w:t>）（</w:t>
      </w:r>
      <w:r>
        <w:t>A</w:t>
      </w:r>
      <w:r>
        <w:rPr>
          <w:rFonts w:hint="eastAsia"/>
        </w:rPr>
        <w:t>）</w:t>
      </w:r>
      <w:r>
        <w:t>-</w:t>
      </w:r>
      <w:r>
        <w:rPr>
          <w:rFonts w:hint="eastAsia"/>
        </w:rPr>
        <w:t>（</w:t>
      </w:r>
      <w:r>
        <w:t>B</w:t>
      </w:r>
      <w:r>
        <w:rPr>
          <w:rFonts w:hint="eastAsia"/>
        </w:rPr>
        <w:t>）（</w:t>
      </w:r>
      <w:r>
        <w:t>2006</w:t>
      </w:r>
      <w:r>
        <w:rPr>
          <w:rFonts w:hint="eastAsia"/>
        </w:rPr>
        <w:t>）</w:t>
      </w:r>
    </w:p>
  </w:footnote>
  <w:footnote w:id="83">
    <w:p w:rsidR="00DB326D" w:rsidRDefault="00DB326D" w:rsidP="00DB326D">
      <w:pPr>
        <w:pStyle w:val="aa"/>
      </w:pPr>
      <w:r>
        <w:rPr>
          <w:rStyle w:val="ac"/>
        </w:rPr>
        <w:footnoteRef/>
      </w:r>
      <w:r>
        <w:t xml:space="preserve"> </w:t>
      </w:r>
      <w:r>
        <w:rPr>
          <w:rFonts w:hint="eastAsia"/>
        </w:rPr>
        <w:t>同註</w:t>
      </w:r>
      <w:r>
        <w:t>97, p479-481</w:t>
      </w:r>
    </w:p>
  </w:footnote>
  <w:footnote w:id="84">
    <w:p w:rsidR="00DB326D" w:rsidRDefault="00DB326D" w:rsidP="00DB326D">
      <w:pPr>
        <w:pStyle w:val="aa"/>
      </w:pPr>
      <w:r>
        <w:rPr>
          <w:rStyle w:val="ac"/>
        </w:rPr>
        <w:footnoteRef/>
      </w:r>
      <w:r>
        <w:t xml:space="preserve"> </w:t>
      </w:r>
      <w:r>
        <w:t>21 CFR 312.3</w:t>
      </w:r>
      <w:r>
        <w:rPr>
          <w:rFonts w:hint="eastAsia"/>
        </w:rPr>
        <w:t>（</w:t>
      </w:r>
      <w:r>
        <w:t>b</w:t>
      </w:r>
      <w:r>
        <w:rPr>
          <w:rFonts w:hint="eastAsia"/>
        </w:rPr>
        <w:t>）</w:t>
      </w:r>
    </w:p>
  </w:footnote>
  <w:footnote w:id="85">
    <w:p w:rsidR="00DB326D" w:rsidRDefault="00DB326D" w:rsidP="00DB326D">
      <w:pPr>
        <w:pStyle w:val="aa"/>
      </w:pPr>
      <w:r>
        <w:rPr>
          <w:rStyle w:val="ac"/>
        </w:rPr>
        <w:footnoteRef/>
      </w:r>
      <w:r>
        <w:t xml:space="preserve"> </w:t>
      </w:r>
      <w:r>
        <w:t>21 CFR 312.2</w:t>
      </w:r>
      <w:r>
        <w:rPr>
          <w:rFonts w:hint="eastAsia"/>
        </w:rPr>
        <w:t>（</w:t>
      </w:r>
      <w:r>
        <w:t>b</w:t>
      </w:r>
      <w:r>
        <w:rPr>
          <w:rFonts w:hint="eastAsia"/>
        </w:rPr>
        <w:t>）（</w:t>
      </w:r>
      <w:r>
        <w:t>2</w:t>
      </w:r>
      <w:r>
        <w:rPr>
          <w:rFonts w:hint="eastAsia"/>
        </w:rPr>
        <w:t>）</w:t>
      </w:r>
      <w:r>
        <w:t xml:space="preserve"> </w:t>
      </w:r>
    </w:p>
  </w:footnote>
  <w:footnote w:id="86">
    <w:p w:rsidR="00DB326D" w:rsidRDefault="00DB326D" w:rsidP="00DB326D">
      <w:pPr>
        <w:pStyle w:val="aa"/>
      </w:pPr>
      <w:r>
        <w:rPr>
          <w:rStyle w:val="ac"/>
        </w:rPr>
        <w:footnoteRef/>
      </w:r>
      <w:r>
        <w:t xml:space="preserve"> </w:t>
      </w:r>
      <w:r w:rsidRPr="001D27A5">
        <w:t>Guidance for Institutional Review Boards and Clinical Investigators</w:t>
      </w:r>
      <w:r>
        <w:t xml:space="preserve"> 1998 update,</w:t>
      </w:r>
    </w:p>
    <w:p w:rsidR="00DB326D" w:rsidRDefault="00DB326D" w:rsidP="00DB326D">
      <w:pPr>
        <w:pStyle w:val="aa"/>
      </w:pPr>
      <w:r>
        <w:t xml:space="preserve">    </w:t>
      </w:r>
      <w:r w:rsidRPr="001B25C9">
        <w:t xml:space="preserve">http://www.bu.edu/irb/files/2010/02/FDADrugMedDevices.pdf </w:t>
      </w:r>
      <w:r>
        <w:t>, visited on 2010/7/31</w:t>
      </w:r>
    </w:p>
  </w:footnote>
  <w:footnote w:id="87">
    <w:p w:rsidR="00DB326D" w:rsidRDefault="00DB326D" w:rsidP="00DB326D">
      <w:pPr>
        <w:pStyle w:val="aa"/>
      </w:pPr>
      <w:r>
        <w:rPr>
          <w:rStyle w:val="ac"/>
        </w:rPr>
        <w:footnoteRef/>
      </w:r>
      <w:r>
        <w:t xml:space="preserve"> </w:t>
      </w:r>
      <w:r>
        <w:rPr>
          <w:rFonts w:hint="eastAsia"/>
        </w:rPr>
        <w:t>例如賽得膠囊用於治療肝癌，衛生署藥政處副處長表示這類適應症外的使用，應由醫師</w:t>
      </w:r>
    </w:p>
    <w:p w:rsidR="00DB326D" w:rsidRDefault="00DB326D" w:rsidP="00DB326D">
      <w:pPr>
        <w:pStyle w:val="aa"/>
      </w:pPr>
      <w:r>
        <w:t xml:space="preserve">   </w:t>
      </w:r>
      <w:r>
        <w:rPr>
          <w:rFonts w:hint="eastAsia"/>
        </w:rPr>
        <w:t>負責，自由時報</w:t>
      </w:r>
      <w:r>
        <w:t>2008</w:t>
      </w:r>
      <w:r>
        <w:rPr>
          <w:rFonts w:hint="eastAsia"/>
        </w:rPr>
        <w:t>年</w:t>
      </w:r>
      <w:r>
        <w:t>9</w:t>
      </w:r>
      <w:r>
        <w:rPr>
          <w:rFonts w:hint="eastAsia"/>
        </w:rPr>
        <w:t>月</w:t>
      </w:r>
      <w:r>
        <w:t>5</w:t>
      </w:r>
      <w:r>
        <w:rPr>
          <w:rFonts w:hint="eastAsia"/>
        </w:rPr>
        <w:t>日生活新聞版，</w:t>
      </w:r>
      <w:r w:rsidRPr="005809B1">
        <w:t>http://www.libertytimes.com.tw/2008/new/sep/</w:t>
      </w:r>
      <w:r>
        <w:t xml:space="preserve"> </w:t>
      </w:r>
    </w:p>
    <w:p w:rsidR="00DB326D" w:rsidRDefault="00DB326D" w:rsidP="00DB326D">
      <w:pPr>
        <w:pStyle w:val="aa"/>
      </w:pPr>
      <w:r>
        <w:t xml:space="preserve">   </w:t>
      </w:r>
      <w:hyperlink r:id="rId7" w:history="1">
        <w:r w:rsidRPr="001C211B">
          <w:rPr>
            <w:rStyle w:val="ae"/>
          </w:rPr>
          <w:t>5/today-life17.htm</w:t>
        </w:r>
      </w:hyperlink>
      <w:r>
        <w:t>, visited on 2010/9/1</w:t>
      </w:r>
      <w:r>
        <w:rPr>
          <w:rFonts w:hint="eastAsia"/>
        </w:rPr>
        <w:t>；針對卡巴氮平（</w:t>
      </w:r>
      <w:proofErr w:type="spellStart"/>
      <w:r>
        <w:rPr>
          <w:rFonts w:ascii="Verdana" w:hAnsi="Verdana"/>
          <w:sz w:val="18"/>
          <w:szCs w:val="18"/>
        </w:rPr>
        <w:t>Carbamazepine</w:t>
      </w:r>
      <w:proofErr w:type="spellEnd"/>
      <w:r>
        <w:rPr>
          <w:rFonts w:ascii="Verdana" w:hAnsi="Verdana" w:hint="eastAsia"/>
          <w:sz w:val="18"/>
          <w:szCs w:val="18"/>
        </w:rPr>
        <w:t>）</w:t>
      </w:r>
      <w:r>
        <w:rPr>
          <w:rFonts w:hint="eastAsia"/>
        </w:rPr>
        <w:t>成分藥品，衛生署</w:t>
      </w:r>
    </w:p>
    <w:p w:rsidR="00DB326D" w:rsidRDefault="00DB326D" w:rsidP="00DB326D">
      <w:pPr>
        <w:pStyle w:val="aa"/>
        <w:rPr>
          <w:rFonts w:ascii="Verdana" w:hAnsi="Verdana"/>
          <w:sz w:val="18"/>
          <w:szCs w:val="18"/>
        </w:rPr>
      </w:pPr>
      <w:r>
        <w:t xml:space="preserve">   </w:t>
      </w:r>
      <w:r>
        <w:rPr>
          <w:rFonts w:hint="eastAsia"/>
        </w:rPr>
        <w:t>食品藥物管理局新聞稿指出「</w:t>
      </w:r>
      <w:r>
        <w:rPr>
          <w:rFonts w:ascii="Verdana" w:hAnsi="Verdana" w:hint="eastAsia"/>
          <w:sz w:val="18"/>
          <w:szCs w:val="18"/>
        </w:rPr>
        <w:t>醫師如經專業判斷，有必要處方核准適應症外使用</w:t>
      </w:r>
      <w:proofErr w:type="spellStart"/>
      <w:r>
        <w:rPr>
          <w:rFonts w:ascii="Verdana" w:hAnsi="Verdana"/>
          <w:sz w:val="18"/>
          <w:szCs w:val="18"/>
        </w:rPr>
        <w:t>Carbamazepine</w:t>
      </w:r>
      <w:proofErr w:type="spellEnd"/>
    </w:p>
    <w:p w:rsidR="00DB326D" w:rsidRDefault="00DB326D" w:rsidP="00DB326D">
      <w:pPr>
        <w:pStyle w:val="aa"/>
        <w:rPr>
          <w:rFonts w:ascii="Verdana" w:hAnsi="Verdana"/>
          <w:sz w:val="18"/>
          <w:szCs w:val="18"/>
        </w:rPr>
      </w:pPr>
      <w:r>
        <w:rPr>
          <w:rFonts w:ascii="Verdana" w:hAnsi="Verdana"/>
          <w:sz w:val="18"/>
          <w:szCs w:val="18"/>
        </w:rPr>
        <w:t xml:space="preserve">   </w:t>
      </w:r>
      <w:r>
        <w:rPr>
          <w:rFonts w:ascii="Verdana" w:hAnsi="Verdana" w:hint="eastAsia"/>
          <w:sz w:val="18"/>
          <w:szCs w:val="18"/>
        </w:rPr>
        <w:t>成分藥品前，應詳盡說明使用該藥品之必要性並告知病患風險」，</w:t>
      </w:r>
      <w:r w:rsidRPr="00E90909">
        <w:t>http://www.fda.gov.tw/</w:t>
      </w:r>
      <w:r w:rsidRPr="005809B1">
        <w:t xml:space="preserve"> </w:t>
      </w:r>
      <w:r w:rsidRPr="00E90909">
        <w:t>itemize</w:t>
      </w:r>
      <w:r>
        <w:t>.</w:t>
      </w:r>
    </w:p>
    <w:p w:rsidR="00DB326D" w:rsidRDefault="00DB326D" w:rsidP="00DB326D">
      <w:pPr>
        <w:pStyle w:val="aa"/>
      </w:pPr>
      <w:r>
        <w:rPr>
          <w:rFonts w:ascii="Verdana" w:hAnsi="Verdana"/>
          <w:sz w:val="18"/>
          <w:szCs w:val="18"/>
        </w:rPr>
        <w:t xml:space="preserve">   </w:t>
      </w:r>
      <w:r w:rsidRPr="00E90909">
        <w:t>.</w:t>
      </w:r>
      <w:proofErr w:type="spellStart"/>
      <w:r w:rsidRPr="00E90909">
        <w:t>aspx?itemize_sn</w:t>
      </w:r>
      <w:proofErr w:type="spellEnd"/>
      <w:r>
        <w:rPr>
          <w:rFonts w:ascii="Verdana" w:hAnsi="Verdana"/>
          <w:sz w:val="18"/>
          <w:szCs w:val="18"/>
        </w:rPr>
        <w:t xml:space="preserve"> </w:t>
      </w:r>
      <w:r w:rsidRPr="00E90909">
        <w:t>=2556&amp;pages=5&amp;</w:t>
      </w:r>
      <w:r w:rsidRPr="005809B1">
        <w:t xml:space="preserve"> </w:t>
      </w:r>
      <w:proofErr w:type="spellStart"/>
      <w:r w:rsidRPr="00E90909">
        <w:t>site_content_sn</w:t>
      </w:r>
      <w:proofErr w:type="spellEnd"/>
      <w:r w:rsidRPr="00E90909">
        <w:t>=1571</w:t>
      </w:r>
      <w:r>
        <w:t>, visited on 2010/9/01</w:t>
      </w:r>
    </w:p>
  </w:footnote>
  <w:footnote w:id="88">
    <w:p w:rsidR="00DB326D" w:rsidRDefault="00DB326D" w:rsidP="00DB326D">
      <w:pPr>
        <w:pStyle w:val="aa"/>
        <w:rPr>
          <w:rFonts w:ascii="Tahoma" w:hAnsi="Tahoma" w:cs="Tahoma"/>
          <w:sz w:val="18"/>
          <w:szCs w:val="18"/>
        </w:rPr>
      </w:pPr>
      <w:r>
        <w:rPr>
          <w:rStyle w:val="ac"/>
        </w:rPr>
        <w:footnoteRef/>
      </w:r>
      <w:r>
        <w:t xml:space="preserve"> </w:t>
      </w:r>
      <w:r>
        <w:rPr>
          <w:rFonts w:hint="eastAsia"/>
        </w:rPr>
        <w:t>賴其萬著，</w:t>
      </w:r>
      <w:r>
        <w:rPr>
          <w:rFonts w:ascii="新細明體" w:hAnsi="新細明體" w:hint="eastAsia"/>
        </w:rPr>
        <w:t>〈</w:t>
      </w:r>
      <w:r>
        <w:rPr>
          <w:rFonts w:hint="eastAsia"/>
        </w:rPr>
        <w:t>請保護無辜的病人</w:t>
      </w:r>
      <w:r>
        <w:rPr>
          <w:rFonts w:ascii="新細明體" w:hAnsi="新細明體" w:hint="eastAsia"/>
        </w:rPr>
        <w:t>〉</w:t>
      </w:r>
      <w:r>
        <w:rPr>
          <w:rFonts w:hint="eastAsia"/>
        </w:rPr>
        <w:t>，</w:t>
      </w:r>
      <w:r w:rsidRPr="00CF05AF">
        <w:rPr>
          <w:rFonts w:ascii="Tahoma" w:hAnsi="Tahoma" w:cs="Tahoma" w:hint="eastAsia"/>
          <w:sz w:val="18"/>
          <w:szCs w:val="18"/>
        </w:rPr>
        <w:t>《和信治癌中心醫院與您》</w:t>
      </w:r>
      <w:r>
        <w:rPr>
          <w:rFonts w:ascii="Tahoma" w:hAnsi="Tahoma" w:cs="Tahoma" w:hint="eastAsia"/>
          <w:sz w:val="18"/>
          <w:szCs w:val="18"/>
        </w:rPr>
        <w:t>，第</w:t>
      </w:r>
      <w:r>
        <w:rPr>
          <w:rFonts w:ascii="Tahoma" w:hAnsi="Tahoma" w:cs="Tahoma"/>
          <w:sz w:val="18"/>
          <w:szCs w:val="18"/>
        </w:rPr>
        <w:t>50</w:t>
      </w:r>
      <w:r>
        <w:rPr>
          <w:rFonts w:ascii="Tahoma" w:hAnsi="Tahoma" w:cs="Tahoma" w:hint="eastAsia"/>
          <w:sz w:val="18"/>
          <w:szCs w:val="18"/>
        </w:rPr>
        <w:t>期，</w:t>
      </w:r>
      <w:r>
        <w:rPr>
          <w:rFonts w:ascii="Tahoma" w:hAnsi="Tahoma" w:cs="Tahoma"/>
          <w:sz w:val="18"/>
          <w:szCs w:val="18"/>
        </w:rPr>
        <w:t>2005/10/15</w:t>
      </w:r>
    </w:p>
    <w:p w:rsidR="00DB326D" w:rsidRDefault="00DB326D" w:rsidP="00DB326D">
      <w:pPr>
        <w:pStyle w:val="aa"/>
      </w:pPr>
      <w:r>
        <w:rPr>
          <w:rFonts w:ascii="Tahoma" w:hAnsi="Tahoma" w:cs="Tahoma"/>
          <w:sz w:val="18"/>
          <w:szCs w:val="18"/>
        </w:rPr>
        <w:t xml:space="preserve">    </w:t>
      </w:r>
      <w:r w:rsidRPr="002C0BA4">
        <w:t>http://www.kfsyscc.org/index.php?article_id=2350</w:t>
      </w:r>
      <w:r>
        <w:rPr>
          <w:rFonts w:hint="eastAsia"/>
        </w:rPr>
        <w:t>，</w:t>
      </w:r>
      <w:r>
        <w:t>visited on  2010/7/30</w:t>
      </w:r>
    </w:p>
  </w:footnote>
  <w:footnote w:id="89">
    <w:p w:rsidR="00DB326D" w:rsidRDefault="00DB326D" w:rsidP="00DB326D">
      <w:pPr>
        <w:pStyle w:val="aa"/>
      </w:pPr>
      <w:r>
        <w:rPr>
          <w:rStyle w:val="ac"/>
        </w:rPr>
        <w:footnoteRef/>
      </w:r>
      <w:r>
        <w:t xml:space="preserve"> </w:t>
      </w:r>
      <w:r>
        <w:rPr>
          <w:rFonts w:hint="eastAsia"/>
        </w:rPr>
        <w:t>許杏如，藥品仿單標示外使用之民事責任與藥害填補機制，國立成功大學科技法律研究所</w:t>
      </w:r>
    </w:p>
    <w:p w:rsidR="00DB326D" w:rsidRDefault="00DB326D" w:rsidP="00DB326D">
      <w:pPr>
        <w:pStyle w:val="aa"/>
      </w:pPr>
      <w:r>
        <w:t xml:space="preserve">   </w:t>
      </w:r>
      <w:r>
        <w:rPr>
          <w:rFonts w:hint="eastAsia"/>
        </w:rPr>
        <w:t>碩士論文，頁</w:t>
      </w:r>
      <w:r>
        <w:t>21</w:t>
      </w:r>
      <w:r>
        <w:rPr>
          <w:rFonts w:hint="eastAsia"/>
        </w:rPr>
        <w:t>，</w:t>
      </w:r>
      <w:r>
        <w:t>2009</w:t>
      </w:r>
      <w:r>
        <w:rPr>
          <w:rFonts w:hint="eastAsia"/>
        </w:rPr>
        <w:t>年</w:t>
      </w:r>
      <w:r>
        <w:t>6</w:t>
      </w:r>
      <w:r>
        <w:rPr>
          <w:rFonts w:hint="eastAsia"/>
        </w:rPr>
        <w:t>月</w:t>
      </w:r>
      <w:r>
        <w:t xml:space="preserve"> </w:t>
      </w:r>
    </w:p>
  </w:footnote>
  <w:footnote w:id="90">
    <w:p w:rsidR="00DB326D" w:rsidRDefault="00DB326D" w:rsidP="00DB326D">
      <w:pPr>
        <w:pStyle w:val="Default"/>
        <w:spacing w:line="240" w:lineRule="exact"/>
        <w:rPr>
          <w:rFonts w:ascii="新細明體" w:eastAsia="新細明體" w:cs="標楷體...."/>
          <w:color w:val="auto"/>
          <w:sz w:val="20"/>
          <w:szCs w:val="28"/>
        </w:rPr>
      </w:pPr>
      <w:r>
        <w:rPr>
          <w:rStyle w:val="ac"/>
          <w:rFonts w:cs="LiHei Pro"/>
        </w:rPr>
        <w:footnoteRef/>
      </w:r>
      <w:r>
        <w:t xml:space="preserve"> </w:t>
      </w:r>
      <w:r w:rsidRPr="00DF7FD4">
        <w:rPr>
          <w:rFonts w:eastAsia="新細明體" w:hint="eastAsia"/>
          <w:sz w:val="20"/>
        </w:rPr>
        <w:t>醫師與藥商間關係守則第三條第四項</w:t>
      </w:r>
      <w:r>
        <w:rPr>
          <w:rFonts w:eastAsia="新細明體" w:hint="eastAsia"/>
          <w:sz w:val="20"/>
        </w:rPr>
        <w:t>「</w:t>
      </w:r>
      <w:r w:rsidRPr="00DF7FD4">
        <w:rPr>
          <w:rFonts w:ascii="新細明體" w:eastAsia="新細明體" w:cs="標楷體...." w:hint="eastAsia"/>
          <w:color w:val="auto"/>
          <w:sz w:val="20"/>
          <w:szCs w:val="28"/>
        </w:rPr>
        <w:t>不得因餽贈而約定或暗示「將」使用特定醫藥產品或</w:t>
      </w:r>
    </w:p>
    <w:p w:rsidR="00DB326D" w:rsidRDefault="00DB326D" w:rsidP="00DB326D">
      <w:pPr>
        <w:pStyle w:val="Default"/>
        <w:spacing w:line="240" w:lineRule="exact"/>
      </w:pPr>
      <w:r>
        <w:rPr>
          <w:rFonts w:ascii="新細明體" w:eastAsia="新細明體" w:cs="標楷體...."/>
          <w:color w:val="auto"/>
          <w:sz w:val="20"/>
          <w:szCs w:val="28"/>
        </w:rPr>
        <w:t xml:space="preserve">   </w:t>
      </w:r>
      <w:r w:rsidRPr="00DF7FD4">
        <w:rPr>
          <w:rFonts w:ascii="新細明體" w:eastAsia="新細明體" w:cs="標楷體...." w:hint="eastAsia"/>
          <w:color w:val="auto"/>
          <w:sz w:val="20"/>
          <w:szCs w:val="28"/>
        </w:rPr>
        <w:t>轉介病人至特定處所</w:t>
      </w:r>
      <w:r>
        <w:rPr>
          <w:rFonts w:ascii="新細明體" w:eastAsia="新細明體" w:cs="標楷體...." w:hint="eastAsia"/>
          <w:color w:val="auto"/>
          <w:sz w:val="20"/>
          <w:szCs w:val="28"/>
        </w:rPr>
        <w:t>」</w:t>
      </w:r>
    </w:p>
  </w:footnote>
  <w:footnote w:id="91">
    <w:p w:rsidR="00DB326D" w:rsidRDefault="00DB326D" w:rsidP="00DB326D">
      <w:pPr>
        <w:pStyle w:val="aa"/>
        <w:rPr>
          <w:rFonts w:ascii="新細明體"/>
        </w:rPr>
      </w:pPr>
      <w:r>
        <w:rPr>
          <w:rStyle w:val="ac"/>
        </w:rPr>
        <w:footnoteRef/>
      </w:r>
      <w:r>
        <w:t xml:space="preserve"> </w:t>
      </w:r>
      <w:r>
        <w:rPr>
          <w:rFonts w:hint="eastAsia"/>
        </w:rPr>
        <w:t>陳杰峰、王慈蜂，</w:t>
      </w:r>
      <w:r>
        <w:t>&lt;</w:t>
      </w:r>
      <w:r>
        <w:rPr>
          <w:rFonts w:hint="eastAsia"/>
        </w:rPr>
        <w:t>醫學文獻評讀概念、方法與等級介紹</w:t>
      </w:r>
      <w:r>
        <w:t>&gt;</w:t>
      </w:r>
      <w:r>
        <w:rPr>
          <w:rFonts w:hint="eastAsia"/>
        </w:rPr>
        <w:t>，</w:t>
      </w:r>
      <w:r>
        <w:rPr>
          <w:rFonts w:ascii="新細明體" w:hAnsi="新細明體" w:hint="eastAsia"/>
        </w:rPr>
        <w:t>《醫療爭議審議報導》</w:t>
      </w:r>
      <w:r>
        <w:rPr>
          <w:rFonts w:ascii="新細明體" w:hAnsi="新細明體"/>
        </w:rPr>
        <w:t>42</w:t>
      </w:r>
      <w:r>
        <w:rPr>
          <w:rFonts w:ascii="新細明體" w:hAnsi="新細明體" w:hint="eastAsia"/>
        </w:rPr>
        <w:t>期，</w:t>
      </w:r>
      <w:r>
        <w:rPr>
          <w:rFonts w:ascii="新細明體" w:hAnsi="新細明體"/>
        </w:rPr>
        <w:t>2009</w:t>
      </w:r>
    </w:p>
    <w:p w:rsidR="00DB326D" w:rsidRDefault="00DB326D" w:rsidP="00DB326D">
      <w:pPr>
        <w:pStyle w:val="aa"/>
      </w:pPr>
      <w:r>
        <w:rPr>
          <w:rFonts w:ascii="新細明體" w:hAnsi="新細明體"/>
        </w:rPr>
        <w:t xml:space="preserve">   </w:t>
      </w:r>
      <w:r>
        <w:rPr>
          <w:rFonts w:ascii="新細明體" w:hAnsi="新細明體" w:hint="eastAsia"/>
        </w:rPr>
        <w:t>年</w:t>
      </w:r>
      <w:r>
        <w:rPr>
          <w:rFonts w:ascii="新細明體" w:hAnsi="新細明體"/>
        </w:rPr>
        <w:t>9</w:t>
      </w:r>
      <w:r>
        <w:rPr>
          <w:rFonts w:ascii="新細明體" w:hAnsi="新細明體" w:hint="eastAsia"/>
        </w:rPr>
        <w:t>月，頁</w:t>
      </w:r>
      <w:r>
        <w:rPr>
          <w:rFonts w:ascii="新細明體" w:hAnsi="新細明體"/>
        </w:rPr>
        <w:t xml:space="preserve">19-20 </w:t>
      </w:r>
    </w:p>
  </w:footnote>
  <w:footnote w:id="92">
    <w:p w:rsidR="00DB326D" w:rsidRDefault="00DB326D" w:rsidP="00DB326D">
      <w:pPr>
        <w:pStyle w:val="aa"/>
      </w:pPr>
      <w:r>
        <w:rPr>
          <w:rStyle w:val="ac"/>
        </w:rPr>
        <w:footnoteRef/>
      </w:r>
      <w:r>
        <w:t xml:space="preserve"> </w:t>
      </w:r>
      <w:r>
        <w:rPr>
          <w:rFonts w:hint="eastAsia"/>
        </w:rPr>
        <w:t>簡表藥費楊志良裁示小砍三元，自由時報生活新聞版，</w:t>
      </w:r>
      <w:r>
        <w:t>2010/8/15</w:t>
      </w:r>
    </w:p>
  </w:footnote>
  <w:footnote w:id="93">
    <w:p w:rsidR="00DB326D" w:rsidRDefault="00DB326D" w:rsidP="00DB326D">
      <w:pPr>
        <w:pStyle w:val="aa"/>
      </w:pPr>
      <w:r>
        <w:rPr>
          <w:rStyle w:val="ac"/>
        </w:rPr>
        <w:footnoteRef/>
      </w:r>
      <w:r>
        <w:rPr>
          <w:rFonts w:ascii="新細明體" w:hAnsi="細明體" w:cs="細明體"/>
          <w:kern w:val="0"/>
        </w:rPr>
        <w:t xml:space="preserve"> </w:t>
      </w:r>
      <w:r w:rsidRPr="00FC4720">
        <w:rPr>
          <w:rFonts w:ascii="新細明體" w:hAnsi="細明體" w:cs="細明體" w:hint="eastAsia"/>
          <w:kern w:val="0"/>
        </w:rPr>
        <w:t>立法院公報第</w:t>
      </w:r>
      <w:r w:rsidRPr="00FC4720">
        <w:rPr>
          <w:rFonts w:ascii="新細明體" w:hAnsi="細明體" w:cs="細明體"/>
          <w:kern w:val="0"/>
        </w:rPr>
        <w:t>89</w:t>
      </w:r>
      <w:r w:rsidRPr="00FC4720">
        <w:rPr>
          <w:rFonts w:ascii="新細明體" w:hAnsi="細明體" w:cs="細明體" w:hint="eastAsia"/>
          <w:kern w:val="0"/>
        </w:rPr>
        <w:t>卷第</w:t>
      </w:r>
      <w:r w:rsidRPr="00FC4720">
        <w:rPr>
          <w:rFonts w:ascii="新細明體" w:hAnsi="細明體" w:cs="細明體"/>
          <w:kern w:val="0"/>
        </w:rPr>
        <w:t>27</w:t>
      </w:r>
      <w:r w:rsidRPr="00FC4720">
        <w:rPr>
          <w:rFonts w:ascii="新細明體" w:hAnsi="細明體" w:cs="細明體" w:hint="eastAsia"/>
          <w:kern w:val="0"/>
        </w:rPr>
        <w:t>期第</w:t>
      </w:r>
      <w:r w:rsidRPr="00FC4720">
        <w:rPr>
          <w:rFonts w:ascii="新細明體" w:hAnsi="細明體" w:cs="細明體"/>
          <w:kern w:val="0"/>
        </w:rPr>
        <w:t>91</w:t>
      </w:r>
      <w:r w:rsidRPr="00FC4720">
        <w:rPr>
          <w:rFonts w:ascii="新細明體" w:hAnsi="細明體" w:cs="細明體" w:hint="eastAsia"/>
          <w:kern w:val="0"/>
        </w:rPr>
        <w:t>頁</w:t>
      </w:r>
    </w:p>
  </w:footnote>
  <w:footnote w:id="94">
    <w:p w:rsidR="00DB326D" w:rsidRDefault="00DB326D" w:rsidP="00DB326D">
      <w:pPr>
        <w:pStyle w:val="aa"/>
        <w:ind w:left="200" w:hangingChars="100" w:hanging="200"/>
      </w:pPr>
      <w:r>
        <w:rPr>
          <w:rStyle w:val="ac"/>
        </w:rPr>
        <w:footnoteRef/>
      </w:r>
      <w:r>
        <w:rPr>
          <w:rFonts w:ascii="新細明體" w:hAnsi="細明體" w:cs="細明體"/>
          <w:kern w:val="0"/>
        </w:rPr>
        <w:t xml:space="preserve"> </w:t>
      </w:r>
      <w:r w:rsidRPr="00FC4720">
        <w:rPr>
          <w:rFonts w:ascii="新細明體" w:hAnsi="細明體" w:cs="細明體" w:hint="eastAsia"/>
          <w:kern w:val="0"/>
        </w:rPr>
        <w:t>立法院公報第</w:t>
      </w:r>
      <w:r w:rsidRPr="00FC4720">
        <w:rPr>
          <w:rFonts w:ascii="新細明體" w:hAnsi="細明體" w:cs="細明體"/>
          <w:kern w:val="0"/>
        </w:rPr>
        <w:t>89</w:t>
      </w:r>
      <w:r w:rsidRPr="00FC4720">
        <w:rPr>
          <w:rFonts w:ascii="新細明體" w:hAnsi="細明體" w:cs="細明體" w:hint="eastAsia"/>
          <w:kern w:val="0"/>
        </w:rPr>
        <w:t>卷第</w:t>
      </w:r>
      <w:r w:rsidRPr="00FC4720">
        <w:rPr>
          <w:rFonts w:ascii="新細明體" w:hAnsi="細明體" w:cs="細明體"/>
          <w:kern w:val="0"/>
        </w:rPr>
        <w:t>27</w:t>
      </w:r>
      <w:r w:rsidRPr="00FC4720">
        <w:rPr>
          <w:rFonts w:ascii="新細明體" w:hAnsi="細明體" w:cs="細明體" w:hint="eastAsia"/>
          <w:kern w:val="0"/>
        </w:rPr>
        <w:t>期第</w:t>
      </w:r>
      <w:r w:rsidRPr="00FC4720">
        <w:rPr>
          <w:rFonts w:ascii="新細明體" w:hAnsi="細明體" w:cs="細明體"/>
          <w:kern w:val="0"/>
        </w:rPr>
        <w:t>9</w:t>
      </w:r>
      <w:r>
        <w:rPr>
          <w:rFonts w:ascii="新細明體" w:hAnsi="細明體" w:cs="細明體"/>
          <w:kern w:val="0"/>
        </w:rPr>
        <w:t>7</w:t>
      </w:r>
      <w:r w:rsidRPr="00FC4720">
        <w:rPr>
          <w:rFonts w:ascii="新細明體" w:hAnsi="細明體" w:cs="細明體" w:hint="eastAsia"/>
          <w:kern w:val="0"/>
        </w:rPr>
        <w:t>頁</w:t>
      </w:r>
      <w:r>
        <w:rPr>
          <w:rFonts w:ascii="新細明體" w:hAnsi="細明體" w:cs="細明體" w:hint="eastAsia"/>
          <w:kern w:val="0"/>
        </w:rPr>
        <w:t>及黃俊杰，特別公課類型化及其課徵正義之研究，台北大學法學論叢第50期，2002年6月，頁108</w:t>
      </w:r>
    </w:p>
  </w:footnote>
  <w:footnote w:id="95">
    <w:p w:rsidR="00DB326D" w:rsidRDefault="00DB326D" w:rsidP="00DB326D">
      <w:pPr>
        <w:pStyle w:val="aa"/>
      </w:pPr>
      <w:r>
        <w:rPr>
          <w:rStyle w:val="ac"/>
        </w:rPr>
        <w:footnoteRef/>
      </w:r>
      <w:r>
        <w:t xml:space="preserve"> </w:t>
      </w:r>
      <w:r>
        <w:rPr>
          <w:rFonts w:hint="eastAsia"/>
        </w:rPr>
        <w:t>朱懷祖著，藥物責任與消費者保護，五南出版，</w:t>
      </w:r>
      <w:r>
        <w:t>1997</w:t>
      </w:r>
      <w:r>
        <w:rPr>
          <w:rFonts w:hint="eastAsia"/>
        </w:rPr>
        <w:t>年</w:t>
      </w:r>
      <w:r>
        <w:t>11</w:t>
      </w:r>
      <w:r>
        <w:rPr>
          <w:rFonts w:hint="eastAsia"/>
        </w:rPr>
        <w:t>月初版，頁</w:t>
      </w:r>
      <w:r>
        <w:t>398-399</w:t>
      </w:r>
      <w:r>
        <w:rPr>
          <w:rFonts w:hint="eastAsia"/>
        </w:rPr>
        <w:t>、</w:t>
      </w:r>
      <w:r>
        <w:t xml:space="preserve">402-405   </w:t>
      </w:r>
    </w:p>
  </w:footnote>
  <w:footnote w:id="96">
    <w:p w:rsidR="00DB326D" w:rsidRDefault="00DB326D" w:rsidP="00DB326D">
      <w:pPr>
        <w:pStyle w:val="aa"/>
      </w:pPr>
      <w:r>
        <w:rPr>
          <w:rStyle w:val="ac"/>
        </w:rPr>
        <w:footnoteRef/>
      </w:r>
      <w:r>
        <w:t xml:space="preserve"> </w:t>
      </w:r>
      <w:r>
        <w:t>98</w:t>
      </w:r>
      <w:r>
        <w:rPr>
          <w:rFonts w:hint="eastAsia"/>
        </w:rPr>
        <w:t>年</w:t>
      </w:r>
      <w:r>
        <w:t>5</w:t>
      </w:r>
      <w:r>
        <w:rPr>
          <w:rFonts w:hint="eastAsia"/>
        </w:rPr>
        <w:t>月</w:t>
      </w:r>
      <w:r>
        <w:t>26</w:t>
      </w:r>
      <w:r>
        <w:rPr>
          <w:rFonts w:hint="eastAsia"/>
        </w:rPr>
        <w:t>日衛署藥字第</w:t>
      </w:r>
      <w:r>
        <w:t>0980360664</w:t>
      </w:r>
      <w:r>
        <w:rPr>
          <w:rFonts w:hint="eastAsia"/>
        </w:rPr>
        <w:t>號函</w:t>
      </w:r>
    </w:p>
  </w:footnote>
  <w:footnote w:id="97">
    <w:p w:rsidR="00DB326D" w:rsidRDefault="00DB326D" w:rsidP="00DB326D">
      <w:pPr>
        <w:pStyle w:val="aa"/>
      </w:pPr>
      <w:r>
        <w:rPr>
          <w:rStyle w:val="ac"/>
        </w:rPr>
        <w:footnoteRef/>
      </w:r>
      <w:r>
        <w:t xml:space="preserve"> </w:t>
      </w:r>
      <w:r>
        <w:rPr>
          <w:rFonts w:hint="eastAsia"/>
        </w:rPr>
        <w:t>藥物、醫療器材、化妝品許可證查詢作業結果，</w:t>
      </w:r>
      <w:hyperlink r:id="rId8" w:history="1">
        <w:r w:rsidRPr="00B6658D">
          <w:rPr>
            <w:rStyle w:val="ae"/>
          </w:rPr>
          <w:t>http://203.65.100.151/DO8180A.asp</w:t>
        </w:r>
      </w:hyperlink>
      <w:r>
        <w:t>,  visited</w:t>
      </w:r>
    </w:p>
    <w:p w:rsidR="00DB326D" w:rsidRDefault="00DB326D" w:rsidP="00DB326D">
      <w:pPr>
        <w:pStyle w:val="aa"/>
      </w:pPr>
      <w:r>
        <w:t xml:space="preserve">   on 2010/8/30</w:t>
      </w:r>
    </w:p>
  </w:footnote>
  <w:footnote w:id="98">
    <w:p w:rsidR="00DB326D" w:rsidRPr="007463F9" w:rsidRDefault="00DB326D" w:rsidP="00DB326D">
      <w:pPr>
        <w:pStyle w:val="aa"/>
        <w:rPr>
          <w:rFonts w:hint="eastAsia"/>
        </w:rPr>
      </w:pPr>
      <w:r>
        <w:rPr>
          <w:rStyle w:val="ac"/>
        </w:rPr>
        <w:footnoteRef/>
      </w:r>
      <w:r>
        <w:t xml:space="preserve"> </w:t>
      </w:r>
      <w:r>
        <w:rPr>
          <w:rFonts w:hint="eastAsia"/>
        </w:rPr>
        <w:t>台北地方法院</w:t>
      </w:r>
      <w:r>
        <w:rPr>
          <w:rFonts w:hint="eastAsia"/>
        </w:rPr>
        <w:t>90</w:t>
      </w:r>
      <w:r>
        <w:rPr>
          <w:rFonts w:hint="eastAsia"/>
        </w:rPr>
        <w:t>年度訴字第</w:t>
      </w:r>
      <w:r>
        <w:rPr>
          <w:rFonts w:hint="eastAsia"/>
        </w:rPr>
        <w:t>3406</w:t>
      </w:r>
      <w:r>
        <w:rPr>
          <w:rFonts w:hint="eastAsia"/>
        </w:rPr>
        <w:t>號民事判決</w:t>
      </w:r>
    </w:p>
  </w:footnote>
  <w:footnote w:id="99">
    <w:p w:rsidR="00DB326D" w:rsidRDefault="00DB326D" w:rsidP="00DB326D">
      <w:pPr>
        <w:pStyle w:val="aa"/>
      </w:pPr>
      <w:r>
        <w:rPr>
          <w:rStyle w:val="ac"/>
        </w:rPr>
        <w:footnoteRef/>
      </w:r>
      <w:r>
        <w:t xml:space="preserve"> </w:t>
      </w:r>
      <w:r>
        <w:rPr>
          <w:rFonts w:hint="eastAsia"/>
        </w:rPr>
        <w:t>最高法院</w:t>
      </w:r>
      <w:r>
        <w:t>99</w:t>
      </w:r>
      <w:r>
        <w:rPr>
          <w:rFonts w:hint="eastAsia"/>
        </w:rPr>
        <w:t>年度台上字第</w:t>
      </w:r>
      <w:r>
        <w:t>558</w:t>
      </w:r>
      <w:r>
        <w:rPr>
          <w:rFonts w:hint="eastAsia"/>
        </w:rPr>
        <w:t>號刑事判決見解</w:t>
      </w:r>
      <w:r>
        <w:t xml:space="preserve">      </w:t>
      </w:r>
    </w:p>
  </w:footnote>
  <w:footnote w:id="100">
    <w:p w:rsidR="00DB326D" w:rsidRDefault="00DB326D" w:rsidP="00DB326D">
      <w:pPr>
        <w:pStyle w:val="aa"/>
      </w:pPr>
      <w:r>
        <w:rPr>
          <w:rStyle w:val="ac"/>
        </w:rPr>
        <w:footnoteRef/>
      </w:r>
      <w:r>
        <w:t xml:space="preserve"> </w:t>
      </w:r>
      <w:r>
        <w:rPr>
          <w:rFonts w:hint="eastAsia"/>
        </w:rPr>
        <w:t>臺灣高等法院</w:t>
      </w:r>
      <w:r>
        <w:t>94</w:t>
      </w:r>
      <w:r>
        <w:rPr>
          <w:rFonts w:hint="eastAsia"/>
        </w:rPr>
        <w:t>年度醫上字第</w:t>
      </w:r>
      <w:r>
        <w:t>6</w:t>
      </w:r>
      <w:r>
        <w:rPr>
          <w:rFonts w:hint="eastAsia"/>
        </w:rPr>
        <w:t>號民事判決關於說明義務範圍亦同此看法</w:t>
      </w:r>
      <w:r>
        <w:t xml:space="preserve"> </w:t>
      </w:r>
    </w:p>
  </w:footnote>
  <w:footnote w:id="101">
    <w:p w:rsidR="00DB326D" w:rsidRDefault="00DB326D" w:rsidP="00DB326D">
      <w:pPr>
        <w:pStyle w:val="aa"/>
      </w:pPr>
      <w:r>
        <w:rPr>
          <w:rStyle w:val="ac"/>
        </w:rPr>
        <w:footnoteRef/>
      </w:r>
      <w:r>
        <w:t xml:space="preserve"> </w:t>
      </w:r>
      <w:r>
        <w:rPr>
          <w:rFonts w:hint="eastAsia"/>
        </w:rPr>
        <w:t>台中地方法院</w:t>
      </w:r>
      <w:r>
        <w:t>93</w:t>
      </w:r>
      <w:r>
        <w:rPr>
          <w:rFonts w:hint="eastAsia"/>
        </w:rPr>
        <w:t>年度醫字第</w:t>
      </w:r>
      <w:r>
        <w:t>1</w:t>
      </w:r>
      <w:r>
        <w:rPr>
          <w:rFonts w:hint="eastAsia"/>
        </w:rPr>
        <w:t>號民事判決</w:t>
      </w:r>
    </w:p>
  </w:footnote>
  <w:footnote w:id="102">
    <w:p w:rsidR="00DB326D" w:rsidRDefault="00DB326D" w:rsidP="00DB326D">
      <w:pPr>
        <w:pStyle w:val="aa"/>
      </w:pPr>
      <w:r>
        <w:rPr>
          <w:rStyle w:val="ac"/>
        </w:rPr>
        <w:footnoteRef/>
      </w:r>
      <w:r>
        <w:t xml:space="preserve"> </w:t>
      </w:r>
      <w:r>
        <w:rPr>
          <w:rFonts w:hint="eastAsia"/>
        </w:rPr>
        <w:t>台中地方法院</w:t>
      </w:r>
      <w:r>
        <w:t>94</w:t>
      </w:r>
      <w:r>
        <w:rPr>
          <w:rFonts w:hint="eastAsia"/>
        </w:rPr>
        <w:t>年度醫訴字第</w:t>
      </w:r>
      <w:r>
        <w:t>5</w:t>
      </w:r>
      <w:r>
        <w:rPr>
          <w:rFonts w:hint="eastAsia"/>
        </w:rPr>
        <w:t>號刑事判決</w:t>
      </w:r>
    </w:p>
  </w:footnote>
  <w:footnote w:id="103">
    <w:p w:rsidR="00DB326D" w:rsidRDefault="00DB326D" w:rsidP="00DB326D">
      <w:pPr>
        <w:pStyle w:val="aa"/>
      </w:pPr>
      <w:r>
        <w:rPr>
          <w:rStyle w:val="ac"/>
        </w:rPr>
        <w:footnoteRef/>
      </w:r>
      <w:r>
        <w:t xml:space="preserve"> </w:t>
      </w:r>
      <w:r>
        <w:rPr>
          <w:rFonts w:hint="eastAsia"/>
        </w:rPr>
        <w:t>臺灣高等法院台中分院</w:t>
      </w:r>
      <w:r>
        <w:t>95</w:t>
      </w:r>
      <w:r>
        <w:rPr>
          <w:rFonts w:hint="eastAsia"/>
        </w:rPr>
        <w:t>年度醫上字第</w:t>
      </w:r>
      <w:r>
        <w:t>3</w:t>
      </w:r>
      <w:r>
        <w:rPr>
          <w:rFonts w:hint="eastAsia"/>
        </w:rPr>
        <w:t>號民事判決及最高法院</w:t>
      </w:r>
      <w:r>
        <w:t>96</w:t>
      </w:r>
      <w:r>
        <w:rPr>
          <w:rFonts w:hint="eastAsia"/>
        </w:rPr>
        <w:t>年度字第</w:t>
      </w:r>
      <w:r>
        <w:t>2410</w:t>
      </w:r>
      <w:r>
        <w:rPr>
          <w:rFonts w:hint="eastAsia"/>
        </w:rPr>
        <w:t>號上訴駁</w:t>
      </w:r>
    </w:p>
    <w:p w:rsidR="00DB326D" w:rsidRDefault="00DB326D" w:rsidP="00DB326D">
      <w:pPr>
        <w:pStyle w:val="aa"/>
      </w:pPr>
      <w:r>
        <w:t xml:space="preserve">   </w:t>
      </w:r>
      <w:r>
        <w:rPr>
          <w:rFonts w:hint="eastAsia"/>
        </w:rPr>
        <w:t>回</w:t>
      </w:r>
    </w:p>
  </w:footnote>
  <w:footnote w:id="104">
    <w:p w:rsidR="00DB326D" w:rsidRDefault="00DB326D" w:rsidP="00DB326D">
      <w:pPr>
        <w:pStyle w:val="aa"/>
      </w:pPr>
      <w:r>
        <w:rPr>
          <w:rStyle w:val="ac"/>
        </w:rPr>
        <w:footnoteRef/>
      </w:r>
      <w:r>
        <w:t xml:space="preserve"> </w:t>
      </w:r>
      <w:r>
        <w:rPr>
          <w:rFonts w:hint="eastAsia"/>
        </w:rPr>
        <w:t>台中地方法院</w:t>
      </w:r>
      <w:r>
        <w:t>93</w:t>
      </w:r>
      <w:r>
        <w:rPr>
          <w:rFonts w:hint="eastAsia"/>
        </w:rPr>
        <w:t>年度訴字第</w:t>
      </w:r>
      <w:r>
        <w:t>3</w:t>
      </w:r>
      <w:r>
        <w:rPr>
          <w:rFonts w:hint="eastAsia"/>
        </w:rPr>
        <w:t>號民事判決</w:t>
      </w:r>
    </w:p>
  </w:footnote>
  <w:footnote w:id="105">
    <w:p w:rsidR="00DB326D" w:rsidRDefault="00DB326D" w:rsidP="00DB326D">
      <w:pPr>
        <w:pStyle w:val="aa"/>
        <w:rPr>
          <w:i/>
        </w:rPr>
      </w:pPr>
      <w:r>
        <w:rPr>
          <w:rStyle w:val="ac"/>
        </w:rPr>
        <w:footnoteRef/>
      </w:r>
      <w:r>
        <w:t xml:space="preserve"> </w:t>
      </w:r>
      <w:r w:rsidRPr="00CB1747">
        <w:rPr>
          <w:b/>
        </w:rPr>
        <w:t>Lars Noah</w:t>
      </w:r>
      <w:r>
        <w:t>,</w:t>
      </w:r>
      <w:r w:rsidRPr="005649E8">
        <w:rPr>
          <w:i/>
        </w:rPr>
        <w:t xml:space="preserve"> INFORMED CONSENT AND THE ELUSIVE DICHOTOMY BETWEEN STANDARD </w:t>
      </w:r>
    </w:p>
    <w:p w:rsidR="00DB326D" w:rsidRDefault="00DB326D" w:rsidP="00DB326D">
      <w:pPr>
        <w:pStyle w:val="aa"/>
      </w:pPr>
      <w:r>
        <w:rPr>
          <w:i/>
        </w:rPr>
        <w:t xml:space="preserve">   </w:t>
      </w:r>
      <w:r w:rsidRPr="005649E8">
        <w:rPr>
          <w:i/>
        </w:rPr>
        <w:t>AND EXPERIMENTAL THERAPY</w:t>
      </w:r>
      <w:r>
        <w:t xml:space="preserve">, </w:t>
      </w:r>
      <w:r w:rsidRPr="00CB1747">
        <w:rPr>
          <w:b/>
        </w:rPr>
        <w:t>American Journal of Law and Medicine</w:t>
      </w:r>
      <w:r>
        <w:t>, p371-371, 2002</w:t>
      </w:r>
    </w:p>
  </w:footnote>
  <w:footnote w:id="106">
    <w:p w:rsidR="00DB326D" w:rsidRDefault="00DB326D" w:rsidP="00DB326D">
      <w:pPr>
        <w:pStyle w:val="aa"/>
        <w:rPr>
          <w:rFonts w:hAnsi="標楷體"/>
        </w:rPr>
      </w:pPr>
      <w:r>
        <w:rPr>
          <w:rStyle w:val="ac"/>
        </w:rPr>
        <w:footnoteRef/>
      </w:r>
      <w:r>
        <w:t xml:space="preserve"> </w:t>
      </w:r>
      <w:r>
        <w:rPr>
          <w:rFonts w:hint="eastAsia"/>
        </w:rPr>
        <w:t>廖建瑜，</w:t>
      </w:r>
      <w:r>
        <w:rPr>
          <w:rFonts w:ascii="新細明體" w:hAnsi="新細明體" w:hint="eastAsia"/>
        </w:rPr>
        <w:t>〈</w:t>
      </w:r>
      <w:r>
        <w:rPr>
          <w:rFonts w:hint="eastAsia"/>
        </w:rPr>
        <w:t>論醫師說明義務之</w:t>
      </w:r>
      <w:r w:rsidRPr="00031CE2">
        <w:rPr>
          <w:rFonts w:hAnsi="標楷體" w:hint="eastAsia"/>
        </w:rPr>
        <w:t>建構與發展</w:t>
      </w:r>
      <w:r w:rsidRPr="00031CE2">
        <w:t>-</w:t>
      </w:r>
      <w:r w:rsidRPr="00031CE2">
        <w:rPr>
          <w:rFonts w:hAnsi="標楷體" w:hint="eastAsia"/>
        </w:rPr>
        <w:t>兼評最高法院</w:t>
      </w:r>
      <w:r w:rsidRPr="00031CE2">
        <w:t>94</w:t>
      </w:r>
      <w:r w:rsidRPr="00031CE2">
        <w:rPr>
          <w:rFonts w:hAnsi="標楷體" w:hint="eastAsia"/>
        </w:rPr>
        <w:t>年度台上字第</w:t>
      </w:r>
      <w:r w:rsidRPr="00031CE2">
        <w:t>2676</w:t>
      </w:r>
      <w:r w:rsidRPr="00031CE2">
        <w:rPr>
          <w:rFonts w:hAnsi="標楷體" w:hint="eastAsia"/>
        </w:rPr>
        <w:t>號刑事判</w:t>
      </w:r>
    </w:p>
    <w:p w:rsidR="00DB326D" w:rsidRDefault="00DB326D" w:rsidP="00DB326D">
      <w:pPr>
        <w:pStyle w:val="aa"/>
      </w:pPr>
      <w:r>
        <w:rPr>
          <w:rFonts w:hAnsi="標楷體"/>
        </w:rPr>
        <w:t xml:space="preserve">   </w:t>
      </w:r>
      <w:r w:rsidRPr="00031CE2">
        <w:rPr>
          <w:rFonts w:hAnsi="標楷體" w:hint="eastAsia"/>
        </w:rPr>
        <w:t>決</w:t>
      </w:r>
      <w:r>
        <w:rPr>
          <w:rFonts w:ascii="新細明體" w:hAnsi="新細明體" w:hint="eastAsia"/>
        </w:rPr>
        <w:t>〉</w:t>
      </w:r>
      <w:r w:rsidRPr="00031CE2">
        <w:t>,</w:t>
      </w:r>
      <w:r>
        <w:t xml:space="preserve"> </w:t>
      </w:r>
      <w:r>
        <w:rPr>
          <w:rFonts w:ascii="新細明體" w:hAnsi="新細明體" w:hint="eastAsia"/>
        </w:rPr>
        <w:t>《</w:t>
      </w:r>
      <w:r w:rsidRPr="00031CE2">
        <w:rPr>
          <w:rFonts w:hAnsi="標楷體" w:hint="eastAsia"/>
        </w:rPr>
        <w:t>成大法學</w:t>
      </w:r>
      <w:r>
        <w:rPr>
          <w:rFonts w:ascii="新細明體" w:hAnsi="新細明體" w:hint="eastAsia"/>
        </w:rPr>
        <w:t>》第</w:t>
      </w:r>
      <w:r>
        <w:rPr>
          <w:rFonts w:ascii="新細明體" w:hAnsi="新細明體"/>
        </w:rPr>
        <w:t>10</w:t>
      </w:r>
      <w:r>
        <w:rPr>
          <w:rFonts w:ascii="新細明體" w:hAnsi="新細明體" w:hint="eastAsia"/>
        </w:rPr>
        <w:t>期</w:t>
      </w:r>
      <w:r w:rsidRPr="00031CE2">
        <w:t>,</w:t>
      </w:r>
      <w:r>
        <w:t xml:space="preserve"> 2005</w:t>
      </w:r>
      <w:r>
        <w:rPr>
          <w:rFonts w:hint="eastAsia"/>
        </w:rPr>
        <w:t>年</w:t>
      </w:r>
      <w:r>
        <w:t>10</w:t>
      </w:r>
      <w:r>
        <w:rPr>
          <w:rFonts w:hint="eastAsia"/>
        </w:rPr>
        <w:t>月</w:t>
      </w:r>
      <w:r>
        <w:t xml:space="preserve">, </w:t>
      </w:r>
      <w:r>
        <w:rPr>
          <w:rFonts w:hint="eastAsia"/>
        </w:rPr>
        <w:t>頁</w:t>
      </w:r>
      <w:r>
        <w:t>268-271</w:t>
      </w:r>
    </w:p>
  </w:footnote>
  <w:footnote w:id="107">
    <w:p w:rsidR="00DB326D" w:rsidRDefault="00DB326D" w:rsidP="00DB326D">
      <w:pPr>
        <w:pStyle w:val="aa"/>
      </w:pPr>
      <w:r>
        <w:rPr>
          <w:rStyle w:val="ac"/>
        </w:rPr>
        <w:footnoteRef/>
      </w:r>
      <w:r>
        <w:t xml:space="preserve"> </w:t>
      </w:r>
      <w:r>
        <w:rPr>
          <w:rFonts w:hint="eastAsia"/>
        </w:rPr>
        <w:t>同註</w:t>
      </w:r>
      <w:r>
        <w:t>1</w:t>
      </w:r>
      <w:r>
        <w:rPr>
          <w:rFonts w:hint="eastAsia"/>
        </w:rPr>
        <w:t>06</w:t>
      </w:r>
      <w:r>
        <w:rPr>
          <w:rFonts w:hint="eastAsia"/>
        </w:rPr>
        <w:t>，頁</w:t>
      </w:r>
      <w:r>
        <w:t>244-246</w:t>
      </w:r>
    </w:p>
  </w:footnote>
  <w:footnote w:id="108">
    <w:p w:rsidR="00DB326D" w:rsidRDefault="00DB326D" w:rsidP="00DB326D">
      <w:pPr>
        <w:pStyle w:val="aa"/>
      </w:pPr>
      <w:r>
        <w:rPr>
          <w:rStyle w:val="ac"/>
        </w:rPr>
        <w:footnoteRef/>
      </w:r>
      <w:r>
        <w:t xml:space="preserve"> </w:t>
      </w:r>
      <w:r>
        <w:rPr>
          <w:rFonts w:hint="eastAsia"/>
        </w:rPr>
        <w:t>最高法院</w:t>
      </w:r>
      <w:r>
        <w:t>92</w:t>
      </w:r>
      <w:r>
        <w:rPr>
          <w:rFonts w:hint="eastAsia"/>
        </w:rPr>
        <w:t>年度台上字第</w:t>
      </w:r>
      <w:r>
        <w:t>1057</w:t>
      </w:r>
      <w:r>
        <w:rPr>
          <w:rFonts w:hint="eastAsia"/>
        </w:rPr>
        <w:t>號民事判決</w:t>
      </w:r>
    </w:p>
  </w:footnote>
  <w:footnote w:id="109">
    <w:p w:rsidR="00DB326D" w:rsidRDefault="00DB326D" w:rsidP="00DB326D">
      <w:pPr>
        <w:pStyle w:val="aa"/>
      </w:pPr>
      <w:r>
        <w:rPr>
          <w:rStyle w:val="ac"/>
        </w:rPr>
        <w:footnoteRef/>
      </w:r>
      <w:r>
        <w:t xml:space="preserve"> </w:t>
      </w:r>
      <w:r>
        <w:rPr>
          <w:rFonts w:hint="eastAsia"/>
        </w:rPr>
        <w:t>最高法院</w:t>
      </w:r>
      <w:r>
        <w:t>94</w:t>
      </w:r>
      <w:r>
        <w:rPr>
          <w:rFonts w:hint="eastAsia"/>
        </w:rPr>
        <w:t>年度台上字第</w:t>
      </w:r>
      <w:r>
        <w:t>2676</w:t>
      </w:r>
      <w:r>
        <w:rPr>
          <w:rFonts w:hint="eastAsia"/>
        </w:rPr>
        <w:t>號民事判決</w:t>
      </w:r>
    </w:p>
  </w:footnote>
  <w:footnote w:id="110">
    <w:p w:rsidR="00DB326D" w:rsidRDefault="00DB326D" w:rsidP="00DB326D">
      <w:pPr>
        <w:pStyle w:val="aa"/>
      </w:pPr>
      <w:r>
        <w:rPr>
          <w:rStyle w:val="ac"/>
        </w:rPr>
        <w:footnoteRef/>
      </w:r>
      <w:r>
        <w:t xml:space="preserve"> </w:t>
      </w:r>
      <w:r>
        <w:rPr>
          <w:rFonts w:hint="eastAsia"/>
        </w:rPr>
        <w:t>台大醫師受藥廠招待涉貪，蘋果日報</w:t>
      </w:r>
      <w:r>
        <w:t>2004/10/28 A3</w:t>
      </w:r>
      <w:r>
        <w:rPr>
          <w:rFonts w:hint="eastAsia"/>
        </w:rPr>
        <w:t>版</w:t>
      </w:r>
      <w:r>
        <w:t xml:space="preserve">, visited on 2010/08/30 </w:t>
      </w:r>
    </w:p>
  </w:footnote>
  <w:footnote w:id="111">
    <w:p w:rsidR="00DB326D" w:rsidRDefault="00DB326D" w:rsidP="00DB326D">
      <w:pPr>
        <w:pStyle w:val="aa"/>
      </w:pPr>
      <w:r>
        <w:rPr>
          <w:rStyle w:val="ac"/>
        </w:rPr>
        <w:footnoteRef/>
      </w:r>
      <w:r>
        <w:t xml:space="preserve"> </w:t>
      </w:r>
      <w:r>
        <w:rPr>
          <w:rFonts w:hint="eastAsia"/>
        </w:rPr>
        <w:t>中華民國醫師公會全國聯合會醫師倫理規範第</w:t>
      </w:r>
      <w:r>
        <w:t>12</w:t>
      </w:r>
      <w:r>
        <w:rPr>
          <w:rFonts w:hint="eastAsia"/>
        </w:rPr>
        <w:t>條規定</w:t>
      </w:r>
    </w:p>
  </w:footnote>
  <w:footnote w:id="112">
    <w:p w:rsidR="00DB326D" w:rsidRDefault="00DB326D" w:rsidP="00DB326D">
      <w:pPr>
        <w:pStyle w:val="aa"/>
      </w:pPr>
      <w:r>
        <w:rPr>
          <w:rStyle w:val="ac"/>
        </w:rPr>
        <w:footnoteRef/>
      </w:r>
      <w:r>
        <w:t xml:space="preserve"> </w:t>
      </w:r>
      <w:r>
        <w:rPr>
          <w:rFonts w:hint="eastAsia"/>
        </w:rPr>
        <w:t>同註</w:t>
      </w:r>
      <w:r>
        <w:t>1</w:t>
      </w:r>
      <w:r>
        <w:rPr>
          <w:rFonts w:hint="eastAsia"/>
        </w:rPr>
        <w:t>06</w:t>
      </w:r>
      <w:r>
        <w:rPr>
          <w:rFonts w:hint="eastAsia"/>
        </w:rPr>
        <w:t>，頁</w:t>
      </w:r>
      <w:r>
        <w:t>251-252</w:t>
      </w:r>
    </w:p>
  </w:footnote>
  <w:footnote w:id="113">
    <w:p w:rsidR="00DB326D" w:rsidRDefault="00DB326D" w:rsidP="00DB326D">
      <w:pPr>
        <w:pStyle w:val="aa"/>
      </w:pPr>
      <w:r>
        <w:rPr>
          <w:rStyle w:val="ac"/>
        </w:rPr>
        <w:footnoteRef/>
      </w:r>
      <w:r>
        <w:t xml:space="preserve"> </w:t>
      </w:r>
      <w:r>
        <w:rPr>
          <w:rFonts w:hint="eastAsia"/>
        </w:rPr>
        <w:t>同註</w:t>
      </w:r>
      <w:r>
        <w:rPr>
          <w:rFonts w:hint="eastAsia"/>
        </w:rPr>
        <w:t>9</w:t>
      </w:r>
      <w:r>
        <w:t>5</w:t>
      </w:r>
      <w:r>
        <w:rPr>
          <w:rFonts w:hint="eastAsia"/>
        </w:rPr>
        <w:t>，頁</w:t>
      </w:r>
      <w:r>
        <w:t xml:space="preserve">9 </w:t>
      </w:r>
    </w:p>
  </w:footnote>
  <w:footnote w:id="114">
    <w:p w:rsidR="00DB326D" w:rsidRDefault="00DB326D" w:rsidP="00DB326D">
      <w:pPr>
        <w:pStyle w:val="aa"/>
        <w:spacing w:line="240" w:lineRule="exact"/>
      </w:pPr>
      <w:r w:rsidRPr="00DC52CA">
        <w:rPr>
          <w:rStyle w:val="ac"/>
        </w:rPr>
        <w:footnoteRef/>
      </w:r>
      <w:r w:rsidRPr="00DC52CA">
        <w:t xml:space="preserve"> </w:t>
      </w:r>
      <w:proofErr w:type="spellStart"/>
      <w:r w:rsidRPr="00DC52CA">
        <w:t>Femrite</w:t>
      </w:r>
      <w:proofErr w:type="spellEnd"/>
      <w:r w:rsidRPr="00DC52CA">
        <w:t xml:space="preserve"> v. Abbott Northwestern Hospital, 568 N.W.2d 535 (Minn. App.1997)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574"/>
    <w:multiLevelType w:val="hybridMultilevel"/>
    <w:tmpl w:val="284A1A00"/>
    <w:lvl w:ilvl="0" w:tplc="FF286612">
      <w:start w:val="1"/>
      <w:numFmt w:val="taiwaneseCountingThousand"/>
      <w:lvlText w:val="%1、"/>
      <w:lvlJc w:val="left"/>
      <w:pPr>
        <w:tabs>
          <w:tab w:val="num" w:pos="720"/>
        </w:tabs>
        <w:ind w:left="720" w:hanging="72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EC3410"/>
    <w:multiLevelType w:val="hybridMultilevel"/>
    <w:tmpl w:val="CA56EF2C"/>
    <w:lvl w:ilvl="0" w:tplc="2514C9BE">
      <w:start w:val="1"/>
      <w:numFmt w:val="decimal"/>
      <w:lvlText w:val="（%1）"/>
      <w:lvlJc w:val="left"/>
      <w:pPr>
        <w:tabs>
          <w:tab w:val="num" w:pos="480"/>
        </w:tabs>
        <w:ind w:left="480" w:hanging="480"/>
      </w:pPr>
      <w:rPr>
        <w:rFonts w:ascii="Times New Roman" w:eastAsia="Times New Roman" w:hAnsi="Times New Roman" w:cs="Times New Roman"/>
      </w:rPr>
    </w:lvl>
    <w:lvl w:ilvl="1" w:tplc="F4A883E4">
      <w:start w:val="1"/>
      <w:numFmt w:val="decimal"/>
      <w:lvlText w:val="%2、"/>
      <w:lvlJc w:val="left"/>
      <w:pPr>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354683F"/>
    <w:multiLevelType w:val="hybridMultilevel"/>
    <w:tmpl w:val="B67889F2"/>
    <w:lvl w:ilvl="0" w:tplc="47028A58">
      <w:start w:val="4"/>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6191670"/>
    <w:multiLevelType w:val="singleLevel"/>
    <w:tmpl w:val="F55ECEF0"/>
    <w:lvl w:ilvl="0">
      <w:start w:val="1"/>
      <w:numFmt w:val="decimal"/>
      <w:lvlText w:val="%1"/>
      <w:legacy w:legacy="1" w:legacySpace="0" w:legacyIndent="360"/>
      <w:lvlJc w:val="left"/>
      <w:rPr>
        <w:rFonts w:ascii="新細明體" w:eastAsia="新細明體" w:hAnsi="新細明體" w:cs="Times New Roman" w:hint="eastAsia"/>
      </w:rPr>
    </w:lvl>
  </w:abstractNum>
  <w:abstractNum w:abstractNumId="4">
    <w:nsid w:val="07C951E0"/>
    <w:multiLevelType w:val="hybridMultilevel"/>
    <w:tmpl w:val="BFD04946"/>
    <w:lvl w:ilvl="0" w:tplc="73B2D6FC">
      <w:start w:val="2"/>
      <w:numFmt w:val="taiwaneseCountingThousand"/>
      <w:lvlText w:val="（%1）"/>
      <w:lvlJc w:val="left"/>
      <w:pPr>
        <w:ind w:left="720" w:hanging="720"/>
      </w:pPr>
      <w:rPr>
        <w:rFonts w:cs="Times New Roman" w:hint="default"/>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0A662332"/>
    <w:multiLevelType w:val="hybridMultilevel"/>
    <w:tmpl w:val="F6F47C96"/>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0B2F2B7E"/>
    <w:multiLevelType w:val="hybridMultilevel"/>
    <w:tmpl w:val="F6BC0E52"/>
    <w:lvl w:ilvl="0" w:tplc="CE0423FA">
      <w:start w:val="1"/>
      <w:numFmt w:val="decimal"/>
      <w:lvlText w:val="（%1）"/>
      <w:lvlJc w:val="left"/>
      <w:pPr>
        <w:tabs>
          <w:tab w:val="num" w:pos="480"/>
        </w:tabs>
        <w:ind w:left="480" w:hanging="480"/>
      </w:pPr>
      <w:rPr>
        <w:rFonts w:ascii="Times New Roman" w:eastAsia="Times New Roman" w:hAnsi="Times New Roman"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0CBB1708"/>
    <w:multiLevelType w:val="hybridMultilevel"/>
    <w:tmpl w:val="99E45A30"/>
    <w:lvl w:ilvl="0" w:tplc="63D8E7AE">
      <w:start w:val="1"/>
      <w:numFmt w:val="decimal"/>
      <w:lvlText w:val="（%1）"/>
      <w:lvlJc w:val="left"/>
      <w:pPr>
        <w:tabs>
          <w:tab w:val="num" w:pos="0"/>
        </w:tabs>
      </w:pPr>
      <w:rPr>
        <w:rFonts w:ascii="Times New Roman" w:eastAsia="新細明體" w:hAnsi="Times New Roman"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0D301EA8"/>
    <w:multiLevelType w:val="hybridMultilevel"/>
    <w:tmpl w:val="FE406DAE"/>
    <w:lvl w:ilvl="0" w:tplc="C518C98E">
      <w:start w:val="1"/>
      <w:numFmt w:val="decimal"/>
      <w:lvlText w:val="%1、"/>
      <w:lvlJc w:val="left"/>
      <w:pPr>
        <w:tabs>
          <w:tab w:val="num" w:pos="839"/>
        </w:tabs>
        <w:ind w:left="839" w:hanging="360"/>
      </w:pPr>
      <w:rPr>
        <w:rFonts w:cs="Times New Roman" w:hint="default"/>
      </w:rPr>
    </w:lvl>
    <w:lvl w:ilvl="1" w:tplc="04090019">
      <w:start w:val="1"/>
      <w:numFmt w:val="ideographTraditional"/>
      <w:lvlText w:val="%2、"/>
      <w:lvlJc w:val="left"/>
      <w:pPr>
        <w:tabs>
          <w:tab w:val="num" w:pos="1439"/>
        </w:tabs>
        <w:ind w:left="1439" w:hanging="480"/>
      </w:pPr>
      <w:rPr>
        <w:rFonts w:cs="Times New Roman"/>
      </w:rPr>
    </w:lvl>
    <w:lvl w:ilvl="2" w:tplc="0409001B">
      <w:start w:val="1"/>
      <w:numFmt w:val="lowerRoman"/>
      <w:lvlText w:val="%3."/>
      <w:lvlJc w:val="right"/>
      <w:pPr>
        <w:tabs>
          <w:tab w:val="num" w:pos="1919"/>
        </w:tabs>
        <w:ind w:left="1919" w:hanging="480"/>
      </w:pPr>
      <w:rPr>
        <w:rFonts w:cs="Times New Roman"/>
      </w:rPr>
    </w:lvl>
    <w:lvl w:ilvl="3" w:tplc="0409000F">
      <w:start w:val="1"/>
      <w:numFmt w:val="decimal"/>
      <w:lvlText w:val="%4."/>
      <w:lvlJc w:val="left"/>
      <w:pPr>
        <w:tabs>
          <w:tab w:val="num" w:pos="2399"/>
        </w:tabs>
        <w:ind w:left="2399" w:hanging="480"/>
      </w:pPr>
      <w:rPr>
        <w:rFonts w:cs="Times New Roman"/>
      </w:rPr>
    </w:lvl>
    <w:lvl w:ilvl="4" w:tplc="04090019">
      <w:start w:val="1"/>
      <w:numFmt w:val="ideographTraditional"/>
      <w:lvlText w:val="%5、"/>
      <w:lvlJc w:val="left"/>
      <w:pPr>
        <w:tabs>
          <w:tab w:val="num" w:pos="2879"/>
        </w:tabs>
        <w:ind w:left="2879" w:hanging="480"/>
      </w:pPr>
      <w:rPr>
        <w:rFonts w:cs="Times New Roman"/>
      </w:rPr>
    </w:lvl>
    <w:lvl w:ilvl="5" w:tplc="0409001B">
      <w:start w:val="1"/>
      <w:numFmt w:val="lowerRoman"/>
      <w:lvlText w:val="%6."/>
      <w:lvlJc w:val="right"/>
      <w:pPr>
        <w:tabs>
          <w:tab w:val="num" w:pos="3359"/>
        </w:tabs>
        <w:ind w:left="3359" w:hanging="480"/>
      </w:pPr>
      <w:rPr>
        <w:rFonts w:cs="Times New Roman"/>
      </w:rPr>
    </w:lvl>
    <w:lvl w:ilvl="6" w:tplc="0409000F">
      <w:start w:val="1"/>
      <w:numFmt w:val="decimal"/>
      <w:lvlText w:val="%7."/>
      <w:lvlJc w:val="left"/>
      <w:pPr>
        <w:tabs>
          <w:tab w:val="num" w:pos="3839"/>
        </w:tabs>
        <w:ind w:left="3839" w:hanging="480"/>
      </w:pPr>
      <w:rPr>
        <w:rFonts w:cs="Times New Roman"/>
      </w:rPr>
    </w:lvl>
    <w:lvl w:ilvl="7" w:tplc="04090019">
      <w:start w:val="1"/>
      <w:numFmt w:val="ideographTraditional"/>
      <w:lvlText w:val="%8、"/>
      <w:lvlJc w:val="left"/>
      <w:pPr>
        <w:tabs>
          <w:tab w:val="num" w:pos="4319"/>
        </w:tabs>
        <w:ind w:left="4319" w:hanging="480"/>
      </w:pPr>
      <w:rPr>
        <w:rFonts w:cs="Times New Roman"/>
      </w:rPr>
    </w:lvl>
    <w:lvl w:ilvl="8" w:tplc="0409001B">
      <w:start w:val="1"/>
      <w:numFmt w:val="lowerRoman"/>
      <w:lvlText w:val="%9."/>
      <w:lvlJc w:val="right"/>
      <w:pPr>
        <w:tabs>
          <w:tab w:val="num" w:pos="4799"/>
        </w:tabs>
        <w:ind w:left="4799" w:hanging="480"/>
      </w:pPr>
      <w:rPr>
        <w:rFonts w:cs="Times New Roman"/>
      </w:rPr>
    </w:lvl>
  </w:abstractNum>
  <w:abstractNum w:abstractNumId="9">
    <w:nsid w:val="13E44876"/>
    <w:multiLevelType w:val="hybridMultilevel"/>
    <w:tmpl w:val="4A1C8DBA"/>
    <w:lvl w:ilvl="0" w:tplc="0409000F">
      <w:start w:val="1"/>
      <w:numFmt w:val="decimal"/>
      <w:lvlText w:val="%1."/>
      <w:lvlJc w:val="left"/>
      <w:pPr>
        <w:ind w:left="480" w:hanging="480"/>
      </w:pPr>
      <w:rPr>
        <w:rFonts w:cs="Times New Roman"/>
      </w:rPr>
    </w:lvl>
    <w:lvl w:ilvl="1" w:tplc="0409000F">
      <w:start w:val="1"/>
      <w:numFmt w:val="decimal"/>
      <w:lvlText w:val="%2."/>
      <w:lvlJc w:val="left"/>
      <w:pPr>
        <w:ind w:left="960" w:hanging="48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14011A13"/>
    <w:multiLevelType w:val="hybridMultilevel"/>
    <w:tmpl w:val="C6B6BDDC"/>
    <w:lvl w:ilvl="0" w:tplc="3FE005B2">
      <w:start w:val="1"/>
      <w:numFmt w:val="decimal"/>
      <w:lvlText w:val="%1、"/>
      <w:lvlJc w:val="left"/>
      <w:pPr>
        <w:ind w:left="361" w:hanging="360"/>
      </w:pPr>
      <w:rPr>
        <w:rFonts w:cs="Times New Roman" w:hint="default"/>
      </w:rPr>
    </w:lvl>
    <w:lvl w:ilvl="1" w:tplc="04090019">
      <w:start w:val="1"/>
      <w:numFmt w:val="ideographTraditional"/>
      <w:lvlText w:val="%2、"/>
      <w:lvlJc w:val="left"/>
      <w:pPr>
        <w:ind w:left="961" w:hanging="480"/>
      </w:pPr>
      <w:rPr>
        <w:rFonts w:cs="Times New Roman"/>
      </w:rPr>
    </w:lvl>
    <w:lvl w:ilvl="2" w:tplc="0409001B">
      <w:start w:val="1"/>
      <w:numFmt w:val="lowerRoman"/>
      <w:lvlText w:val="%3."/>
      <w:lvlJc w:val="right"/>
      <w:pPr>
        <w:ind w:left="1441" w:hanging="480"/>
      </w:pPr>
      <w:rPr>
        <w:rFonts w:cs="Times New Roman"/>
      </w:rPr>
    </w:lvl>
    <w:lvl w:ilvl="3" w:tplc="0409000F">
      <w:start w:val="1"/>
      <w:numFmt w:val="decimal"/>
      <w:lvlText w:val="%4."/>
      <w:lvlJc w:val="left"/>
      <w:pPr>
        <w:ind w:left="1921" w:hanging="480"/>
      </w:pPr>
      <w:rPr>
        <w:rFonts w:cs="Times New Roman"/>
      </w:rPr>
    </w:lvl>
    <w:lvl w:ilvl="4" w:tplc="04090019">
      <w:start w:val="1"/>
      <w:numFmt w:val="ideographTraditional"/>
      <w:lvlText w:val="%5、"/>
      <w:lvlJc w:val="left"/>
      <w:pPr>
        <w:ind w:left="2401" w:hanging="480"/>
      </w:pPr>
      <w:rPr>
        <w:rFonts w:cs="Times New Roman"/>
      </w:rPr>
    </w:lvl>
    <w:lvl w:ilvl="5" w:tplc="0409001B">
      <w:start w:val="1"/>
      <w:numFmt w:val="lowerRoman"/>
      <w:lvlText w:val="%6."/>
      <w:lvlJc w:val="right"/>
      <w:pPr>
        <w:ind w:left="2881" w:hanging="480"/>
      </w:pPr>
      <w:rPr>
        <w:rFonts w:cs="Times New Roman"/>
      </w:rPr>
    </w:lvl>
    <w:lvl w:ilvl="6" w:tplc="0409000F">
      <w:start w:val="1"/>
      <w:numFmt w:val="decimal"/>
      <w:lvlText w:val="%7."/>
      <w:lvlJc w:val="left"/>
      <w:pPr>
        <w:ind w:left="3361" w:hanging="480"/>
      </w:pPr>
      <w:rPr>
        <w:rFonts w:cs="Times New Roman"/>
      </w:rPr>
    </w:lvl>
    <w:lvl w:ilvl="7" w:tplc="04090019">
      <w:start w:val="1"/>
      <w:numFmt w:val="ideographTraditional"/>
      <w:lvlText w:val="%8、"/>
      <w:lvlJc w:val="left"/>
      <w:pPr>
        <w:ind w:left="3841" w:hanging="480"/>
      </w:pPr>
      <w:rPr>
        <w:rFonts w:cs="Times New Roman"/>
      </w:rPr>
    </w:lvl>
    <w:lvl w:ilvl="8" w:tplc="0409001B">
      <w:start w:val="1"/>
      <w:numFmt w:val="lowerRoman"/>
      <w:lvlText w:val="%9."/>
      <w:lvlJc w:val="right"/>
      <w:pPr>
        <w:ind w:left="4321" w:hanging="480"/>
      </w:pPr>
      <w:rPr>
        <w:rFonts w:cs="Times New Roman"/>
      </w:rPr>
    </w:lvl>
  </w:abstractNum>
  <w:abstractNum w:abstractNumId="11">
    <w:nsid w:val="14442CB6"/>
    <w:multiLevelType w:val="multilevel"/>
    <w:tmpl w:val="69429748"/>
    <w:lvl w:ilvl="0">
      <w:start w:val="1"/>
      <w:numFmt w:val="decimal"/>
      <w:lvlText w:val="（%1）"/>
      <w:lvlJc w:val="left"/>
      <w:pPr>
        <w:tabs>
          <w:tab w:val="num" w:pos="0"/>
        </w:tabs>
        <w:ind w:left="480" w:hanging="480"/>
      </w:pPr>
      <w:rPr>
        <w:rFonts w:ascii="Times New Roman" w:eastAsia="新細明體" w:hAnsi="Times New Roman"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nsid w:val="15104546"/>
    <w:multiLevelType w:val="multilevel"/>
    <w:tmpl w:val="6762B0B0"/>
    <w:lvl w:ilvl="0">
      <w:start w:val="1"/>
      <w:numFmt w:val="ideographLegalTraditional"/>
      <w:lvlText w:val="%1、"/>
      <w:lvlJc w:val="left"/>
      <w:pPr>
        <w:tabs>
          <w:tab w:val="num" w:pos="480"/>
        </w:tabs>
        <w:ind w:left="480" w:hanging="48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720"/>
        </w:tabs>
        <w:ind w:left="72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nsid w:val="15435330"/>
    <w:multiLevelType w:val="hybridMultilevel"/>
    <w:tmpl w:val="78967944"/>
    <w:lvl w:ilvl="0" w:tplc="9FB8DC06">
      <w:start w:val="1"/>
      <w:numFmt w:val="decimal"/>
      <w:lvlText w:val="%1、"/>
      <w:lvlJc w:val="left"/>
      <w:pPr>
        <w:tabs>
          <w:tab w:val="num" w:pos="1260"/>
        </w:tabs>
        <w:ind w:left="1260" w:hanging="360"/>
      </w:pPr>
      <w:rPr>
        <w:rFonts w:cs="Times New Roman" w:hint="default"/>
      </w:rPr>
    </w:lvl>
    <w:lvl w:ilvl="1" w:tplc="04090019">
      <w:start w:val="1"/>
      <w:numFmt w:val="ideographTraditional"/>
      <w:lvlText w:val="%2、"/>
      <w:lvlJc w:val="left"/>
      <w:pPr>
        <w:tabs>
          <w:tab w:val="num" w:pos="1860"/>
        </w:tabs>
        <w:ind w:left="1860" w:hanging="480"/>
      </w:pPr>
      <w:rPr>
        <w:rFonts w:cs="Times New Roman"/>
      </w:rPr>
    </w:lvl>
    <w:lvl w:ilvl="2" w:tplc="0409001B">
      <w:start w:val="1"/>
      <w:numFmt w:val="lowerRoman"/>
      <w:lvlText w:val="%3."/>
      <w:lvlJc w:val="right"/>
      <w:pPr>
        <w:tabs>
          <w:tab w:val="num" w:pos="2340"/>
        </w:tabs>
        <w:ind w:left="2340" w:hanging="480"/>
      </w:pPr>
      <w:rPr>
        <w:rFonts w:cs="Times New Roman"/>
      </w:rPr>
    </w:lvl>
    <w:lvl w:ilvl="3" w:tplc="0409000F">
      <w:start w:val="1"/>
      <w:numFmt w:val="decimal"/>
      <w:lvlText w:val="%4."/>
      <w:lvlJc w:val="left"/>
      <w:pPr>
        <w:tabs>
          <w:tab w:val="num" w:pos="2820"/>
        </w:tabs>
        <w:ind w:left="2820" w:hanging="480"/>
      </w:pPr>
      <w:rPr>
        <w:rFonts w:cs="Times New Roman"/>
      </w:rPr>
    </w:lvl>
    <w:lvl w:ilvl="4" w:tplc="04090019">
      <w:start w:val="1"/>
      <w:numFmt w:val="ideographTraditional"/>
      <w:lvlText w:val="%5、"/>
      <w:lvlJc w:val="left"/>
      <w:pPr>
        <w:tabs>
          <w:tab w:val="num" w:pos="3300"/>
        </w:tabs>
        <w:ind w:left="3300" w:hanging="480"/>
      </w:pPr>
      <w:rPr>
        <w:rFonts w:cs="Times New Roman"/>
      </w:rPr>
    </w:lvl>
    <w:lvl w:ilvl="5" w:tplc="0409001B">
      <w:start w:val="1"/>
      <w:numFmt w:val="lowerRoman"/>
      <w:lvlText w:val="%6."/>
      <w:lvlJc w:val="right"/>
      <w:pPr>
        <w:tabs>
          <w:tab w:val="num" w:pos="3780"/>
        </w:tabs>
        <w:ind w:left="3780" w:hanging="480"/>
      </w:pPr>
      <w:rPr>
        <w:rFonts w:cs="Times New Roman"/>
      </w:rPr>
    </w:lvl>
    <w:lvl w:ilvl="6" w:tplc="0409000F">
      <w:start w:val="1"/>
      <w:numFmt w:val="decimal"/>
      <w:lvlText w:val="%7."/>
      <w:lvlJc w:val="left"/>
      <w:pPr>
        <w:tabs>
          <w:tab w:val="num" w:pos="4260"/>
        </w:tabs>
        <w:ind w:left="4260" w:hanging="480"/>
      </w:pPr>
      <w:rPr>
        <w:rFonts w:cs="Times New Roman"/>
      </w:rPr>
    </w:lvl>
    <w:lvl w:ilvl="7" w:tplc="04090019">
      <w:start w:val="1"/>
      <w:numFmt w:val="ideographTraditional"/>
      <w:lvlText w:val="%8、"/>
      <w:lvlJc w:val="left"/>
      <w:pPr>
        <w:tabs>
          <w:tab w:val="num" w:pos="4740"/>
        </w:tabs>
        <w:ind w:left="4740" w:hanging="480"/>
      </w:pPr>
      <w:rPr>
        <w:rFonts w:cs="Times New Roman"/>
      </w:rPr>
    </w:lvl>
    <w:lvl w:ilvl="8" w:tplc="0409001B">
      <w:start w:val="1"/>
      <w:numFmt w:val="lowerRoman"/>
      <w:lvlText w:val="%9."/>
      <w:lvlJc w:val="right"/>
      <w:pPr>
        <w:tabs>
          <w:tab w:val="num" w:pos="5220"/>
        </w:tabs>
        <w:ind w:left="5220" w:hanging="480"/>
      </w:pPr>
      <w:rPr>
        <w:rFonts w:cs="Times New Roman"/>
      </w:rPr>
    </w:lvl>
  </w:abstractNum>
  <w:abstractNum w:abstractNumId="14">
    <w:nsid w:val="19F211E0"/>
    <w:multiLevelType w:val="multilevel"/>
    <w:tmpl w:val="2DD6D57C"/>
    <w:lvl w:ilvl="0">
      <w:start w:val="1"/>
      <w:numFmt w:val="ideographLegalTraditional"/>
      <w:lvlText w:val="%1、"/>
      <w:lvlJc w:val="left"/>
      <w:pPr>
        <w:tabs>
          <w:tab w:val="num" w:pos="480"/>
        </w:tabs>
        <w:ind w:left="480" w:hanging="48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5">
    <w:nsid w:val="1A71113A"/>
    <w:multiLevelType w:val="hybridMultilevel"/>
    <w:tmpl w:val="2480A6AC"/>
    <w:lvl w:ilvl="0" w:tplc="A7284268">
      <w:start w:val="1"/>
      <w:numFmt w:val="decimal"/>
      <w:lvlText w:val="%1、"/>
      <w:lvlJc w:val="left"/>
      <w:pPr>
        <w:ind w:left="360" w:hanging="360"/>
      </w:pPr>
      <w:rPr>
        <w:rFonts w:eastAsia="新細明體"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1CD6749D"/>
    <w:multiLevelType w:val="hybridMultilevel"/>
    <w:tmpl w:val="57C80EF4"/>
    <w:lvl w:ilvl="0" w:tplc="8014EB60">
      <w:start w:val="1"/>
      <w:numFmt w:val="decim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20994A18"/>
    <w:multiLevelType w:val="hybridMultilevel"/>
    <w:tmpl w:val="1A6AD812"/>
    <w:lvl w:ilvl="0" w:tplc="87E27A24">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211A19DD"/>
    <w:multiLevelType w:val="multilevel"/>
    <w:tmpl w:val="6762B0B0"/>
    <w:lvl w:ilvl="0">
      <w:start w:val="1"/>
      <w:numFmt w:val="ideographLegalTraditional"/>
      <w:lvlText w:val="%1、"/>
      <w:lvlJc w:val="left"/>
      <w:pPr>
        <w:tabs>
          <w:tab w:val="num" w:pos="480"/>
        </w:tabs>
        <w:ind w:left="480" w:hanging="48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720"/>
        </w:tabs>
        <w:ind w:left="72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2928194D"/>
    <w:multiLevelType w:val="hybridMultilevel"/>
    <w:tmpl w:val="AF5866DA"/>
    <w:lvl w:ilvl="0" w:tplc="6008A3F6">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3354554B"/>
    <w:multiLevelType w:val="hybridMultilevel"/>
    <w:tmpl w:val="214CAD5A"/>
    <w:lvl w:ilvl="0" w:tplc="54A4A55A">
      <w:start w:val="1"/>
      <w:numFmt w:val="taiwaneseCountingThousand"/>
      <w:lvlText w:val="（%1）"/>
      <w:lvlJc w:val="left"/>
      <w:pPr>
        <w:ind w:left="855" w:hanging="855"/>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345718FC"/>
    <w:multiLevelType w:val="hybridMultilevel"/>
    <w:tmpl w:val="7D4686EE"/>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4AA2544"/>
    <w:multiLevelType w:val="multilevel"/>
    <w:tmpl w:val="61F8BDA8"/>
    <w:lvl w:ilvl="0">
      <w:start w:val="1"/>
      <w:numFmt w:val="ideographLegalTraditional"/>
      <w:lvlText w:val="%1、"/>
      <w:lvlJc w:val="left"/>
      <w:pPr>
        <w:tabs>
          <w:tab w:val="num" w:pos="480"/>
        </w:tabs>
        <w:ind w:left="480" w:hanging="48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720"/>
        </w:tabs>
        <w:ind w:left="72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nsid w:val="3505352D"/>
    <w:multiLevelType w:val="multilevel"/>
    <w:tmpl w:val="D34EF9FE"/>
    <w:lvl w:ilvl="0">
      <w:start w:val="1"/>
      <w:numFmt w:val="ideographLegalTraditional"/>
      <w:lvlText w:val="%1、"/>
      <w:lvlJc w:val="left"/>
      <w:pPr>
        <w:tabs>
          <w:tab w:val="num" w:pos="480"/>
        </w:tabs>
        <w:ind w:left="480" w:hanging="48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720"/>
        </w:tabs>
        <w:ind w:left="72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nsid w:val="36F87C08"/>
    <w:multiLevelType w:val="hybridMultilevel"/>
    <w:tmpl w:val="36BE6840"/>
    <w:lvl w:ilvl="0" w:tplc="63D8E7AE">
      <w:start w:val="1"/>
      <w:numFmt w:val="decimal"/>
      <w:lvlText w:val="（%1）"/>
      <w:lvlJc w:val="left"/>
      <w:pPr>
        <w:tabs>
          <w:tab w:val="num" w:pos="0"/>
        </w:tabs>
      </w:pPr>
      <w:rPr>
        <w:rFonts w:ascii="Times New Roman" w:eastAsia="新細明體" w:hAnsi="Times New Roman"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nsid w:val="3C1365BD"/>
    <w:multiLevelType w:val="hybridMultilevel"/>
    <w:tmpl w:val="C2245236"/>
    <w:lvl w:ilvl="0" w:tplc="3B0818AE">
      <w:start w:val="1"/>
      <w:numFmt w:val="taiwaneseCountingThousand"/>
      <w:lvlText w:val="%1、"/>
      <w:lvlJc w:val="left"/>
      <w:pPr>
        <w:tabs>
          <w:tab w:val="num" w:pos="720"/>
        </w:tabs>
        <w:ind w:left="720" w:hanging="720"/>
      </w:pPr>
      <w:rPr>
        <w:rFonts w:cs="Times New Roman" w:hint="default"/>
        <w:color w:val="FF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6">
    <w:nsid w:val="3EE21FF8"/>
    <w:multiLevelType w:val="hybridMultilevel"/>
    <w:tmpl w:val="69429748"/>
    <w:lvl w:ilvl="0" w:tplc="D49AD736">
      <w:start w:val="1"/>
      <w:numFmt w:val="decimal"/>
      <w:lvlText w:val="（%1）"/>
      <w:lvlJc w:val="left"/>
      <w:pPr>
        <w:tabs>
          <w:tab w:val="num" w:pos="0"/>
        </w:tabs>
        <w:ind w:left="480" w:hanging="480"/>
      </w:pPr>
      <w:rPr>
        <w:rFonts w:ascii="Times New Roman" w:eastAsia="新細明體" w:hAnsi="Times New Roman"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7">
    <w:nsid w:val="3F74166B"/>
    <w:multiLevelType w:val="multilevel"/>
    <w:tmpl w:val="99E45A30"/>
    <w:lvl w:ilvl="0">
      <w:start w:val="1"/>
      <w:numFmt w:val="decimal"/>
      <w:lvlText w:val="（%1）"/>
      <w:lvlJc w:val="left"/>
      <w:pPr>
        <w:tabs>
          <w:tab w:val="num" w:pos="0"/>
        </w:tabs>
      </w:pPr>
      <w:rPr>
        <w:rFonts w:ascii="Times New Roman" w:eastAsia="新細明體" w:hAnsi="Times New Roman"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41A87C43"/>
    <w:multiLevelType w:val="hybridMultilevel"/>
    <w:tmpl w:val="80385FD6"/>
    <w:lvl w:ilvl="0" w:tplc="6840C47C">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
    <w:nsid w:val="45871C13"/>
    <w:multiLevelType w:val="hybridMultilevel"/>
    <w:tmpl w:val="64B4CFC4"/>
    <w:lvl w:ilvl="0" w:tplc="B992AD28">
      <w:start w:val="4"/>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nsid w:val="48E831A4"/>
    <w:multiLevelType w:val="hybridMultilevel"/>
    <w:tmpl w:val="B2AAC9AC"/>
    <w:lvl w:ilvl="0" w:tplc="246CCFA0">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4F3623A8"/>
    <w:multiLevelType w:val="multilevel"/>
    <w:tmpl w:val="69429748"/>
    <w:lvl w:ilvl="0">
      <w:start w:val="1"/>
      <w:numFmt w:val="decimal"/>
      <w:lvlText w:val="（%1）"/>
      <w:lvlJc w:val="left"/>
      <w:pPr>
        <w:tabs>
          <w:tab w:val="num" w:pos="0"/>
        </w:tabs>
        <w:ind w:left="480" w:hanging="480"/>
      </w:pPr>
      <w:rPr>
        <w:rFonts w:ascii="Times New Roman" w:eastAsia="新細明體" w:hAnsi="Times New Roman"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2">
    <w:nsid w:val="4FC61F71"/>
    <w:multiLevelType w:val="hybridMultilevel"/>
    <w:tmpl w:val="C9ECF84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nsid w:val="51E5789B"/>
    <w:multiLevelType w:val="multilevel"/>
    <w:tmpl w:val="67082F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39844C8"/>
    <w:multiLevelType w:val="hybridMultilevel"/>
    <w:tmpl w:val="6762B0B0"/>
    <w:lvl w:ilvl="0" w:tplc="04090017">
      <w:start w:val="1"/>
      <w:numFmt w:val="ideographLegalTraditional"/>
      <w:lvlText w:val="%1、"/>
      <w:lvlJc w:val="left"/>
      <w:pPr>
        <w:tabs>
          <w:tab w:val="num" w:pos="480"/>
        </w:tabs>
        <w:ind w:left="480" w:hanging="480"/>
      </w:pPr>
      <w:rPr>
        <w:rFonts w:cs="Times New Roman" w:hint="default"/>
      </w:rPr>
    </w:lvl>
    <w:lvl w:ilvl="1" w:tplc="4C025600">
      <w:start w:val="1"/>
      <w:numFmt w:val="decimal"/>
      <w:lvlText w:val="%2、"/>
      <w:lvlJc w:val="left"/>
      <w:pPr>
        <w:tabs>
          <w:tab w:val="num" w:pos="840"/>
        </w:tabs>
        <w:ind w:left="840" w:hanging="360"/>
      </w:pPr>
      <w:rPr>
        <w:rFonts w:cs="Times New Roman" w:hint="default"/>
      </w:rPr>
    </w:lvl>
    <w:lvl w:ilvl="2" w:tplc="9E9E8570">
      <w:start w:val="1"/>
      <w:numFmt w:val="taiwaneseCountingThousand"/>
      <w:lvlText w:val="（%3）"/>
      <w:lvlJc w:val="left"/>
      <w:pPr>
        <w:tabs>
          <w:tab w:val="num" w:pos="720"/>
        </w:tabs>
        <w:ind w:left="720" w:hanging="720"/>
      </w:pPr>
      <w:rPr>
        <w:rFonts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5">
    <w:nsid w:val="53C867DA"/>
    <w:multiLevelType w:val="hybridMultilevel"/>
    <w:tmpl w:val="5CD2500C"/>
    <w:lvl w:ilvl="0" w:tplc="0409000F">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6">
    <w:nsid w:val="550D1DC6"/>
    <w:multiLevelType w:val="hybridMultilevel"/>
    <w:tmpl w:val="A3E03A90"/>
    <w:lvl w:ilvl="0" w:tplc="BF22362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5C0D17C0"/>
    <w:multiLevelType w:val="hybridMultilevel"/>
    <w:tmpl w:val="7F7E8F26"/>
    <w:lvl w:ilvl="0" w:tplc="1AC8D470">
      <w:start w:val="2"/>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
    <w:nsid w:val="6C874FAB"/>
    <w:multiLevelType w:val="multilevel"/>
    <w:tmpl w:val="6762B0B0"/>
    <w:lvl w:ilvl="0">
      <w:start w:val="1"/>
      <w:numFmt w:val="ideographLegalTraditional"/>
      <w:lvlText w:val="%1、"/>
      <w:lvlJc w:val="left"/>
      <w:pPr>
        <w:tabs>
          <w:tab w:val="num" w:pos="480"/>
        </w:tabs>
        <w:ind w:left="480" w:hanging="48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720"/>
        </w:tabs>
        <w:ind w:left="72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9">
    <w:nsid w:val="6CEF5C5D"/>
    <w:multiLevelType w:val="multilevel"/>
    <w:tmpl w:val="2DD6D57C"/>
    <w:lvl w:ilvl="0">
      <w:start w:val="1"/>
      <w:numFmt w:val="ideographLegalTraditional"/>
      <w:lvlText w:val="%1、"/>
      <w:lvlJc w:val="left"/>
      <w:pPr>
        <w:tabs>
          <w:tab w:val="num" w:pos="480"/>
        </w:tabs>
        <w:ind w:left="480" w:hanging="48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720"/>
        </w:tabs>
        <w:ind w:left="72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0">
    <w:nsid w:val="74D5609A"/>
    <w:multiLevelType w:val="multilevel"/>
    <w:tmpl w:val="F6BC0E52"/>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1">
    <w:nsid w:val="792C5FB9"/>
    <w:multiLevelType w:val="hybridMultilevel"/>
    <w:tmpl w:val="B4A23F0E"/>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798A79E3"/>
    <w:multiLevelType w:val="singleLevel"/>
    <w:tmpl w:val="71F88FC4"/>
    <w:lvl w:ilvl="0">
      <w:start w:val="1"/>
      <w:numFmt w:val="decimal"/>
      <w:lvlText w:val="%1"/>
      <w:legacy w:legacy="1" w:legacySpace="0" w:legacyIndent="360"/>
      <w:lvlJc w:val="left"/>
      <w:rPr>
        <w:rFonts w:ascii="標楷體" w:eastAsia="標楷體" w:hAnsi="標楷體" w:cs="Times New Roman" w:hint="eastAsia"/>
      </w:rPr>
    </w:lvl>
  </w:abstractNum>
  <w:abstractNum w:abstractNumId="43">
    <w:nsid w:val="7B0F3516"/>
    <w:multiLevelType w:val="hybridMultilevel"/>
    <w:tmpl w:val="6BFAAD06"/>
    <w:lvl w:ilvl="0" w:tplc="CCBE3FAE">
      <w:start w:val="1"/>
      <w:numFmt w:val="taiwaneseCountingThousand"/>
      <w:lvlText w:val="第%1、"/>
      <w:lvlJc w:val="left"/>
      <w:pPr>
        <w:tabs>
          <w:tab w:val="num" w:pos="744"/>
        </w:tabs>
        <w:ind w:left="744" w:hanging="744"/>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4">
    <w:nsid w:val="7C726391"/>
    <w:multiLevelType w:val="hybridMultilevel"/>
    <w:tmpl w:val="4B72D47E"/>
    <w:lvl w:ilvl="0" w:tplc="C09002D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4"/>
  </w:num>
  <w:num w:numId="2">
    <w:abstractNumId w:val="5"/>
  </w:num>
  <w:num w:numId="3">
    <w:abstractNumId w:val="33"/>
  </w:num>
  <w:num w:numId="4">
    <w:abstractNumId w:val="8"/>
  </w:num>
  <w:num w:numId="5">
    <w:abstractNumId w:val="16"/>
  </w:num>
  <w:num w:numId="6">
    <w:abstractNumId w:val="14"/>
  </w:num>
  <w:num w:numId="7">
    <w:abstractNumId w:val="37"/>
  </w:num>
  <w:num w:numId="8">
    <w:abstractNumId w:val="2"/>
  </w:num>
  <w:num w:numId="9">
    <w:abstractNumId w:val="29"/>
  </w:num>
  <w:num w:numId="10">
    <w:abstractNumId w:val="44"/>
  </w:num>
  <w:num w:numId="11">
    <w:abstractNumId w:val="43"/>
  </w:num>
  <w:num w:numId="12">
    <w:abstractNumId w:val="25"/>
  </w:num>
  <w:num w:numId="13">
    <w:abstractNumId w:val="19"/>
  </w:num>
  <w:num w:numId="14">
    <w:abstractNumId w:val="41"/>
  </w:num>
  <w:num w:numId="15">
    <w:abstractNumId w:val="15"/>
  </w:num>
  <w:num w:numId="16">
    <w:abstractNumId w:val="32"/>
  </w:num>
  <w:num w:numId="17">
    <w:abstractNumId w:val="6"/>
  </w:num>
  <w:num w:numId="18">
    <w:abstractNumId w:val="36"/>
  </w:num>
  <w:num w:numId="19">
    <w:abstractNumId w:val="40"/>
  </w:num>
  <w:num w:numId="20">
    <w:abstractNumId w:val="26"/>
  </w:num>
  <w:num w:numId="21">
    <w:abstractNumId w:val="11"/>
  </w:num>
  <w:num w:numId="22">
    <w:abstractNumId w:val="31"/>
  </w:num>
  <w:num w:numId="23">
    <w:abstractNumId w:val="7"/>
  </w:num>
  <w:num w:numId="24">
    <w:abstractNumId w:val="27"/>
  </w:num>
  <w:num w:numId="25">
    <w:abstractNumId w:val="24"/>
  </w:num>
  <w:num w:numId="26">
    <w:abstractNumId w:val="1"/>
  </w:num>
  <w:num w:numId="27">
    <w:abstractNumId w:val="13"/>
  </w:num>
  <w:num w:numId="28">
    <w:abstractNumId w:val="10"/>
  </w:num>
  <w:num w:numId="29">
    <w:abstractNumId w:val="9"/>
  </w:num>
  <w:num w:numId="30">
    <w:abstractNumId w:val="35"/>
  </w:num>
  <w:num w:numId="31">
    <w:abstractNumId w:val="30"/>
  </w:num>
  <w:num w:numId="32">
    <w:abstractNumId w:val="28"/>
  </w:num>
  <w:num w:numId="33">
    <w:abstractNumId w:val="17"/>
  </w:num>
  <w:num w:numId="34">
    <w:abstractNumId w:val="4"/>
  </w:num>
  <w:num w:numId="35">
    <w:abstractNumId w:val="42"/>
  </w:num>
  <w:num w:numId="36">
    <w:abstractNumId w:val="3"/>
  </w:num>
  <w:num w:numId="37">
    <w:abstractNumId w:val="20"/>
  </w:num>
  <w:num w:numId="38">
    <w:abstractNumId w:val="39"/>
  </w:num>
  <w:num w:numId="39">
    <w:abstractNumId w:val="22"/>
  </w:num>
  <w:num w:numId="40">
    <w:abstractNumId w:val="23"/>
  </w:num>
  <w:num w:numId="41">
    <w:abstractNumId w:val="12"/>
  </w:num>
  <w:num w:numId="42">
    <w:abstractNumId w:val="38"/>
  </w:num>
  <w:num w:numId="43">
    <w:abstractNumId w:val="18"/>
  </w:num>
  <w:num w:numId="44">
    <w:abstractNumId w:val="2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26D"/>
    <w:rsid w:val="002E3FCF"/>
    <w:rsid w:val="005D2B8F"/>
    <w:rsid w:val="00DB32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8F"/>
    <w:pPr>
      <w:widowControl w:val="0"/>
    </w:pPr>
  </w:style>
  <w:style w:type="paragraph" w:styleId="3">
    <w:name w:val="heading 3"/>
    <w:basedOn w:val="a"/>
    <w:link w:val="30"/>
    <w:qFormat/>
    <w:rsid w:val="00DB326D"/>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見出し 3 (文字)"/>
    <w:basedOn w:val="a0"/>
    <w:link w:val="3"/>
    <w:rsid w:val="00DB326D"/>
    <w:rPr>
      <w:rFonts w:ascii="新細明體" w:eastAsia="新細明體" w:hAnsi="新細明體" w:cs="新細明體"/>
      <w:b/>
      <w:bCs/>
      <w:kern w:val="0"/>
      <w:sz w:val="27"/>
      <w:szCs w:val="27"/>
    </w:rPr>
  </w:style>
  <w:style w:type="paragraph" w:styleId="HTML">
    <w:name w:val="HTML Preformatted"/>
    <w:basedOn w:val="a"/>
    <w:link w:val="HTML0"/>
    <w:rsid w:val="00DB3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書式付き (文字)"/>
    <w:basedOn w:val="a0"/>
    <w:link w:val="HTML"/>
    <w:rsid w:val="00DB326D"/>
    <w:rPr>
      <w:rFonts w:ascii="細明體" w:eastAsia="細明體" w:hAnsi="細明體" w:cs="細明體"/>
      <w:kern w:val="0"/>
      <w:szCs w:val="24"/>
    </w:rPr>
  </w:style>
  <w:style w:type="paragraph" w:styleId="z-">
    <w:name w:val="HTML Top of Form"/>
    <w:basedOn w:val="a"/>
    <w:next w:val="a"/>
    <w:link w:val="z-0"/>
    <w:hidden/>
    <w:rsid w:val="00DB326D"/>
    <w:pPr>
      <w:widowControl/>
      <w:pBdr>
        <w:bottom w:val="single" w:sz="6" w:space="1" w:color="auto"/>
      </w:pBdr>
      <w:jc w:val="center"/>
    </w:pPr>
    <w:rPr>
      <w:rFonts w:ascii="Arial" w:eastAsia="新細明體" w:hAnsi="Arial" w:cs="Arial"/>
      <w:vanish/>
      <w:kern w:val="0"/>
      <w:sz w:val="16"/>
      <w:szCs w:val="16"/>
    </w:rPr>
  </w:style>
  <w:style w:type="character" w:customStyle="1" w:styleId="z-0">
    <w:name w:val="z-フォームの始まり (文字)"/>
    <w:basedOn w:val="a0"/>
    <w:link w:val="z-"/>
    <w:rsid w:val="00DB326D"/>
    <w:rPr>
      <w:rFonts w:ascii="Arial" w:eastAsia="新細明體" w:hAnsi="Arial" w:cs="Arial"/>
      <w:vanish/>
      <w:kern w:val="0"/>
      <w:sz w:val="16"/>
      <w:szCs w:val="16"/>
    </w:rPr>
  </w:style>
  <w:style w:type="paragraph" w:styleId="z-1">
    <w:name w:val="HTML Bottom of Form"/>
    <w:basedOn w:val="a"/>
    <w:next w:val="a"/>
    <w:link w:val="z-2"/>
    <w:hidden/>
    <w:rsid w:val="00DB326D"/>
    <w:pPr>
      <w:widowControl/>
      <w:pBdr>
        <w:top w:val="single" w:sz="6" w:space="1" w:color="auto"/>
      </w:pBdr>
      <w:jc w:val="center"/>
    </w:pPr>
    <w:rPr>
      <w:rFonts w:ascii="Arial" w:eastAsia="新細明體" w:hAnsi="Arial" w:cs="Arial"/>
      <w:vanish/>
      <w:kern w:val="0"/>
      <w:sz w:val="16"/>
      <w:szCs w:val="16"/>
    </w:rPr>
  </w:style>
  <w:style w:type="character" w:customStyle="1" w:styleId="z-2">
    <w:name w:val="z-フォームの終わり (文字)"/>
    <w:basedOn w:val="a0"/>
    <w:link w:val="z-1"/>
    <w:rsid w:val="00DB326D"/>
    <w:rPr>
      <w:rFonts w:ascii="Arial" w:eastAsia="新細明體" w:hAnsi="Arial" w:cs="Arial"/>
      <w:vanish/>
      <w:kern w:val="0"/>
      <w:sz w:val="16"/>
      <w:szCs w:val="16"/>
    </w:rPr>
  </w:style>
  <w:style w:type="character" w:styleId="a3">
    <w:name w:val="annotation reference"/>
    <w:basedOn w:val="a0"/>
    <w:semiHidden/>
    <w:rsid w:val="00DB326D"/>
    <w:rPr>
      <w:rFonts w:cs="Times New Roman"/>
      <w:sz w:val="18"/>
      <w:szCs w:val="18"/>
    </w:rPr>
  </w:style>
  <w:style w:type="paragraph" w:styleId="a4">
    <w:name w:val="annotation text"/>
    <w:basedOn w:val="a"/>
    <w:link w:val="a5"/>
    <w:semiHidden/>
    <w:rsid w:val="00DB326D"/>
    <w:rPr>
      <w:rFonts w:ascii="Times New Roman" w:eastAsia="新細明體" w:hAnsi="Times New Roman" w:cs="Times New Roman"/>
      <w:szCs w:val="24"/>
    </w:rPr>
  </w:style>
  <w:style w:type="character" w:customStyle="1" w:styleId="a5">
    <w:name w:val="コメント文字列 (文字)"/>
    <w:basedOn w:val="a0"/>
    <w:link w:val="a4"/>
    <w:semiHidden/>
    <w:rsid w:val="00DB326D"/>
    <w:rPr>
      <w:rFonts w:ascii="Times New Roman" w:eastAsia="新細明體" w:hAnsi="Times New Roman" w:cs="Times New Roman"/>
      <w:szCs w:val="24"/>
    </w:rPr>
  </w:style>
  <w:style w:type="paragraph" w:styleId="a6">
    <w:name w:val="annotation subject"/>
    <w:basedOn w:val="a4"/>
    <w:next w:val="a4"/>
    <w:link w:val="a7"/>
    <w:semiHidden/>
    <w:rsid w:val="00DB326D"/>
    <w:rPr>
      <w:b/>
      <w:bCs/>
    </w:rPr>
  </w:style>
  <w:style w:type="character" w:customStyle="1" w:styleId="a7">
    <w:name w:val="コメント内容 (文字)"/>
    <w:basedOn w:val="a5"/>
    <w:link w:val="a6"/>
    <w:semiHidden/>
    <w:rsid w:val="00DB326D"/>
    <w:rPr>
      <w:b/>
      <w:bCs/>
    </w:rPr>
  </w:style>
  <w:style w:type="paragraph" w:styleId="a8">
    <w:name w:val="Balloon Text"/>
    <w:basedOn w:val="a"/>
    <w:link w:val="a9"/>
    <w:semiHidden/>
    <w:rsid w:val="00DB326D"/>
    <w:rPr>
      <w:rFonts w:ascii="Arial" w:eastAsia="新細明體" w:hAnsi="Arial" w:cs="Times New Roman"/>
      <w:sz w:val="18"/>
      <w:szCs w:val="18"/>
    </w:rPr>
  </w:style>
  <w:style w:type="character" w:customStyle="1" w:styleId="a9">
    <w:name w:val="吹き出し (文字)"/>
    <w:basedOn w:val="a0"/>
    <w:link w:val="a8"/>
    <w:semiHidden/>
    <w:rsid w:val="00DB326D"/>
    <w:rPr>
      <w:rFonts w:ascii="Arial" w:eastAsia="新細明體" w:hAnsi="Arial" w:cs="Times New Roman"/>
      <w:sz w:val="18"/>
      <w:szCs w:val="18"/>
    </w:rPr>
  </w:style>
  <w:style w:type="paragraph" w:styleId="aa">
    <w:name w:val="footnote text"/>
    <w:basedOn w:val="a"/>
    <w:link w:val="ab"/>
    <w:semiHidden/>
    <w:rsid w:val="00DB326D"/>
    <w:pPr>
      <w:snapToGrid w:val="0"/>
    </w:pPr>
    <w:rPr>
      <w:rFonts w:ascii="Times New Roman" w:eastAsia="新細明體" w:hAnsi="Times New Roman" w:cs="Times New Roman"/>
      <w:sz w:val="20"/>
      <w:szCs w:val="20"/>
    </w:rPr>
  </w:style>
  <w:style w:type="character" w:customStyle="1" w:styleId="ab">
    <w:name w:val="脚注文字列 (文字)"/>
    <w:basedOn w:val="a0"/>
    <w:link w:val="aa"/>
    <w:semiHidden/>
    <w:rsid w:val="00DB326D"/>
    <w:rPr>
      <w:rFonts w:ascii="Times New Roman" w:eastAsia="新細明體" w:hAnsi="Times New Roman" w:cs="Times New Roman"/>
      <w:sz w:val="20"/>
      <w:szCs w:val="20"/>
    </w:rPr>
  </w:style>
  <w:style w:type="character" w:styleId="ac">
    <w:name w:val="footnote reference"/>
    <w:basedOn w:val="a0"/>
    <w:semiHidden/>
    <w:rsid w:val="00DB326D"/>
    <w:rPr>
      <w:rFonts w:cs="Times New Roman"/>
      <w:vertAlign w:val="superscript"/>
    </w:rPr>
  </w:style>
  <w:style w:type="character" w:styleId="ad">
    <w:name w:val="Emphasis"/>
    <w:basedOn w:val="a0"/>
    <w:qFormat/>
    <w:rsid w:val="00DB326D"/>
    <w:rPr>
      <w:rFonts w:cs="Times New Roman"/>
      <w:color w:val="CC0033"/>
    </w:rPr>
  </w:style>
  <w:style w:type="character" w:styleId="ae">
    <w:name w:val="Hyperlink"/>
    <w:basedOn w:val="a0"/>
    <w:rsid w:val="00DB326D"/>
    <w:rPr>
      <w:rFonts w:cs="Times New Roman"/>
      <w:color w:val="0000FF"/>
      <w:u w:val="single"/>
    </w:rPr>
  </w:style>
  <w:style w:type="paragraph" w:styleId="af">
    <w:name w:val="footer"/>
    <w:basedOn w:val="a"/>
    <w:link w:val="af0"/>
    <w:rsid w:val="00DB326D"/>
    <w:pPr>
      <w:tabs>
        <w:tab w:val="center" w:pos="4153"/>
        <w:tab w:val="right" w:pos="8306"/>
      </w:tabs>
      <w:snapToGrid w:val="0"/>
    </w:pPr>
    <w:rPr>
      <w:rFonts w:ascii="Times New Roman" w:eastAsia="新細明體" w:hAnsi="Times New Roman" w:cs="Times New Roman"/>
      <w:sz w:val="20"/>
      <w:szCs w:val="20"/>
    </w:rPr>
  </w:style>
  <w:style w:type="character" w:customStyle="1" w:styleId="af0">
    <w:name w:val="フッター (文字)"/>
    <w:basedOn w:val="a0"/>
    <w:link w:val="af"/>
    <w:rsid w:val="00DB326D"/>
    <w:rPr>
      <w:rFonts w:ascii="Times New Roman" w:eastAsia="新細明體" w:hAnsi="Times New Roman" w:cs="Times New Roman"/>
      <w:sz w:val="20"/>
      <w:szCs w:val="20"/>
    </w:rPr>
  </w:style>
  <w:style w:type="character" w:styleId="af1">
    <w:name w:val="page number"/>
    <w:basedOn w:val="a0"/>
    <w:rsid w:val="00DB326D"/>
    <w:rPr>
      <w:rFonts w:cs="Times New Roman"/>
    </w:rPr>
  </w:style>
  <w:style w:type="paragraph" w:styleId="Web">
    <w:name w:val="Normal (Web)"/>
    <w:basedOn w:val="a"/>
    <w:rsid w:val="00DB326D"/>
    <w:pPr>
      <w:widowControl/>
      <w:spacing w:before="100" w:beforeAutospacing="1" w:after="100" w:afterAutospacing="1"/>
    </w:pPr>
    <w:rPr>
      <w:rFonts w:ascii="新細明體" w:eastAsia="新細明體" w:hAnsi="新細明體" w:cs="新細明體"/>
      <w:color w:val="000000"/>
      <w:kern w:val="0"/>
      <w:szCs w:val="24"/>
    </w:rPr>
  </w:style>
  <w:style w:type="paragraph" w:styleId="af2">
    <w:name w:val="Salutation"/>
    <w:basedOn w:val="a"/>
    <w:next w:val="a"/>
    <w:link w:val="af3"/>
    <w:rsid w:val="00DB326D"/>
    <w:rPr>
      <w:rFonts w:ascii="新細明體" w:eastAsia="新細明體" w:hAnsi="新細明體" w:cs="新細明體"/>
      <w:color w:val="000000"/>
      <w:kern w:val="0"/>
      <w:szCs w:val="24"/>
    </w:rPr>
  </w:style>
  <w:style w:type="character" w:customStyle="1" w:styleId="af3">
    <w:name w:val="挨拶文 (文字)"/>
    <w:basedOn w:val="a0"/>
    <w:link w:val="af2"/>
    <w:rsid w:val="00DB326D"/>
    <w:rPr>
      <w:rFonts w:ascii="新細明體" w:eastAsia="新細明體" w:hAnsi="新細明體" w:cs="新細明體"/>
      <w:color w:val="000000"/>
      <w:kern w:val="0"/>
      <w:szCs w:val="24"/>
    </w:rPr>
  </w:style>
  <w:style w:type="paragraph" w:styleId="af4">
    <w:name w:val="Closing"/>
    <w:basedOn w:val="a"/>
    <w:link w:val="af5"/>
    <w:rsid w:val="00DB326D"/>
    <w:pPr>
      <w:ind w:leftChars="1800" w:left="100"/>
    </w:pPr>
    <w:rPr>
      <w:rFonts w:ascii="新細明體" w:eastAsia="新細明體" w:hAnsi="新細明體" w:cs="新細明體"/>
      <w:color w:val="000000"/>
      <w:kern w:val="0"/>
      <w:szCs w:val="24"/>
    </w:rPr>
  </w:style>
  <w:style w:type="character" w:customStyle="1" w:styleId="af5">
    <w:name w:val="結語 (文字)"/>
    <w:basedOn w:val="a0"/>
    <w:link w:val="af4"/>
    <w:rsid w:val="00DB326D"/>
    <w:rPr>
      <w:rFonts w:ascii="新細明體" w:eastAsia="新細明體" w:hAnsi="新細明體" w:cs="新細明體"/>
      <w:color w:val="000000"/>
      <w:kern w:val="0"/>
      <w:szCs w:val="24"/>
    </w:rPr>
  </w:style>
  <w:style w:type="paragraph" w:styleId="af6">
    <w:name w:val="header"/>
    <w:basedOn w:val="a"/>
    <w:link w:val="af7"/>
    <w:rsid w:val="00DB326D"/>
    <w:pPr>
      <w:tabs>
        <w:tab w:val="center" w:pos="4153"/>
        <w:tab w:val="right" w:pos="8306"/>
      </w:tabs>
      <w:snapToGrid w:val="0"/>
    </w:pPr>
    <w:rPr>
      <w:rFonts w:ascii="Times New Roman" w:eastAsia="新細明體" w:hAnsi="Times New Roman" w:cs="Times New Roman"/>
      <w:sz w:val="20"/>
      <w:szCs w:val="20"/>
    </w:rPr>
  </w:style>
  <w:style w:type="character" w:customStyle="1" w:styleId="af7">
    <w:name w:val="ヘッダー (文字)"/>
    <w:basedOn w:val="a0"/>
    <w:link w:val="af6"/>
    <w:rsid w:val="00DB326D"/>
    <w:rPr>
      <w:rFonts w:ascii="Times New Roman" w:eastAsia="新細明體" w:hAnsi="Times New Roman" w:cs="Times New Roman"/>
      <w:sz w:val="20"/>
      <w:szCs w:val="20"/>
    </w:rPr>
  </w:style>
  <w:style w:type="character" w:styleId="af8">
    <w:name w:val="FollowedHyperlink"/>
    <w:basedOn w:val="a0"/>
    <w:rsid w:val="00DB326D"/>
    <w:rPr>
      <w:rFonts w:cs="Times New Roman"/>
      <w:color w:val="800080"/>
      <w:u w:val="single"/>
    </w:rPr>
  </w:style>
  <w:style w:type="paragraph" w:customStyle="1" w:styleId="Default">
    <w:name w:val="Default"/>
    <w:rsid w:val="00DB326D"/>
    <w:pPr>
      <w:widowControl w:val="0"/>
      <w:autoSpaceDE w:val="0"/>
      <w:autoSpaceDN w:val="0"/>
      <w:adjustRightInd w:val="0"/>
    </w:pPr>
    <w:rPr>
      <w:rFonts w:ascii="LiHei Pro" w:eastAsia="LiHei Pro" w:hAnsi="Calibri" w:cs="LiHei Pro"/>
      <w:color w:val="000000"/>
      <w:kern w:val="0"/>
      <w:szCs w:val="24"/>
    </w:rPr>
  </w:style>
  <w:style w:type="character" w:customStyle="1" w:styleId="memo11ptred1">
    <w:name w:val="memo11ptred1"/>
    <w:basedOn w:val="a0"/>
    <w:rsid w:val="00DB326D"/>
    <w:rPr>
      <w:rFonts w:cs="Times New Roman"/>
      <w:color w:val="BC0926"/>
      <w:sz w:val="22"/>
      <w:szCs w:val="22"/>
    </w:rPr>
  </w:style>
  <w:style w:type="character" w:styleId="af9">
    <w:name w:val="Strong"/>
    <w:basedOn w:val="a0"/>
    <w:qFormat/>
    <w:rsid w:val="00DB326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cument.frmSimpleSearch.query.value='title:%22Carbamazepine&#34277;&#21697;&#26680;&#20934;&#27161;&#31034;&#22806;&#20351;&#29992;&#65288;Off-Label_BLANK_Use&#65289;&#20043;&#30740;&#31350;%22';document.frmSimpleSearch.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203.65.100.151/DO8180A.asp" TargetMode="External"/><Relationship Id="rId3" Type="http://schemas.openxmlformats.org/officeDocument/2006/relationships/hyperlink" Target="http://www.tdrf.org.tw/ch/05knows/kno_07_main.asp?bull_id=3967" TargetMode="External"/><Relationship Id="rId7" Type="http://schemas.openxmlformats.org/officeDocument/2006/relationships/hyperlink" Target="http://www.libertytimes.com.tw/2008/new/sep/5/today-life17.htm" TargetMode="External"/><Relationship Id="rId2" Type="http://schemas.openxmlformats.org/officeDocument/2006/relationships/hyperlink" Target="http://www.tdrf.org.tw/ch/05knows/kno_07_main.asp?bull_id=3967" TargetMode="External"/><Relationship Id="rId1" Type="http://schemas.openxmlformats.org/officeDocument/2006/relationships/hyperlink" Target="javascript:document.frmSimpleSearch.query.value='title:%22Carbamazepine&#34277;&#21697;&#26680;&#20934;&#27161;&#31034;&#22806;&#20351;&#29992;&#65288;Off-Label_BLANK_Use&#65289;&#20043;&#30740;&#31350;%22';document.frmSimpleSearch.submit()" TargetMode="External"/><Relationship Id="rId6" Type="http://schemas.openxmlformats.org/officeDocument/2006/relationships/hyperlink" Target="http://www.nyc.gov/html/caregiver/zh/paying_2.html" TargetMode="External"/><Relationship Id="rId5" Type="http://schemas.openxmlformats.org/officeDocument/2006/relationships/hyperlink" Target="http://www.taf.org/fcastatistics2006.pdf" TargetMode="External"/><Relationship Id="rId4" Type="http://schemas.openxmlformats.org/officeDocument/2006/relationships/hyperlink" Target="http://international.westlaw.com/Find/Default.wl?rs=dfa1.0&amp;vr=2.0&amp;DB=506&amp;FindType=Y&amp;SerialNum=201285881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7191</Words>
  <Characters>40995</Characters>
  <Application>Microsoft Office Word</Application>
  <DocSecurity>0</DocSecurity>
  <Lines>341</Lines>
  <Paragraphs>96</Paragraphs>
  <ScaleCrop>false</ScaleCrop>
  <Company/>
  <LinksUpToDate>false</LinksUpToDate>
  <CharactersWithSpaces>48090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珍怡</dc:creator>
  <cp:lastModifiedBy>珍怡</cp:lastModifiedBy>
  <cp:revision>2</cp:revision>
  <dcterms:created xsi:type="dcterms:W3CDTF">2013-11-03T07:14:00Z</dcterms:created>
  <dcterms:modified xsi:type="dcterms:W3CDTF">2013-11-03T07:33:00Z</dcterms:modified>
</cp:coreProperties>
</file>